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E12" w:rsidRDefault="00B64E12" w:rsidP="00B64E12">
      <w:pPr>
        <w:shd w:val="clear" w:color="auto" w:fill="99CCFF"/>
        <w:jc w:val="center"/>
        <w:rPr>
          <w:rFonts w:ascii="Arial" w:hAnsi="Arial" w:cs="Arial"/>
          <w:b/>
        </w:rPr>
      </w:pPr>
    </w:p>
    <w:p w:rsidR="00B64E12" w:rsidRDefault="00B64E12" w:rsidP="00B64E12">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3pt;height:74.3pt" o:ole="">
            <v:imagedata r:id="rId7" o:title=""/>
          </v:shape>
          <o:OLEObject Type="Embed" ProgID="MSPhotoEd.3" ShapeID="_x0000_i1025" DrawAspect="Content" ObjectID="_1452695455" r:id="rId8"/>
        </w:object>
      </w:r>
    </w:p>
    <w:p w:rsidR="00B64E12" w:rsidRDefault="00B64E12" w:rsidP="00B64E12">
      <w:pPr>
        <w:shd w:val="clear" w:color="auto" w:fill="99CCFF"/>
        <w:jc w:val="center"/>
        <w:rPr>
          <w:b/>
          <w:sz w:val="48"/>
          <w:szCs w:val="48"/>
        </w:rPr>
      </w:pPr>
      <w:r>
        <w:rPr>
          <w:b/>
          <w:sz w:val="48"/>
          <w:szCs w:val="48"/>
        </w:rPr>
        <w:t>FITUR</w:t>
      </w:r>
    </w:p>
    <w:p w:rsidR="00B64E12" w:rsidRDefault="00B64E12" w:rsidP="00B64E12">
      <w:pPr>
        <w:shd w:val="clear" w:color="auto" w:fill="99CCFF"/>
        <w:jc w:val="center"/>
        <w:rPr>
          <w:b/>
          <w:sz w:val="48"/>
          <w:szCs w:val="48"/>
        </w:rPr>
      </w:pPr>
      <w:r>
        <w:rPr>
          <w:b/>
          <w:sz w:val="48"/>
          <w:szCs w:val="48"/>
        </w:rPr>
        <w:t>2014</w:t>
      </w:r>
    </w:p>
    <w:p w:rsidR="00B64E12" w:rsidRDefault="00B64E12" w:rsidP="00B64E12">
      <w:pPr>
        <w:shd w:val="clear" w:color="auto" w:fill="99CCFF"/>
        <w:jc w:val="center"/>
        <w:rPr>
          <w:b/>
          <w:sz w:val="48"/>
          <w:szCs w:val="48"/>
        </w:rPr>
      </w:pPr>
      <w:r w:rsidRPr="000D3060">
        <w:rPr>
          <w:b/>
          <w:sz w:val="48"/>
          <w:szCs w:val="48"/>
        </w:rPr>
        <w:t xml:space="preserve">TURİZM </w:t>
      </w:r>
      <w:r>
        <w:rPr>
          <w:b/>
          <w:sz w:val="48"/>
          <w:szCs w:val="48"/>
        </w:rPr>
        <w:t>FUARI</w:t>
      </w:r>
    </w:p>
    <w:p w:rsidR="00B64E12" w:rsidRDefault="00B64E12" w:rsidP="00B64E12">
      <w:pPr>
        <w:shd w:val="clear" w:color="auto" w:fill="99CCFF"/>
        <w:jc w:val="center"/>
        <w:rPr>
          <w:b/>
          <w:sz w:val="48"/>
          <w:szCs w:val="48"/>
        </w:rPr>
      </w:pPr>
      <w:r>
        <w:rPr>
          <w:b/>
          <w:sz w:val="48"/>
          <w:szCs w:val="48"/>
        </w:rPr>
        <w:t xml:space="preserve">SONUÇ </w:t>
      </w:r>
      <w:r w:rsidRPr="000D3060">
        <w:rPr>
          <w:b/>
          <w:sz w:val="48"/>
          <w:szCs w:val="48"/>
        </w:rPr>
        <w:t>RAPORU</w:t>
      </w:r>
    </w:p>
    <w:p w:rsidR="00B64E12" w:rsidRDefault="00B64E12" w:rsidP="00B64E12">
      <w:pPr>
        <w:shd w:val="clear" w:color="auto" w:fill="99CCFF"/>
        <w:jc w:val="center"/>
        <w:rPr>
          <w:rFonts w:ascii="Arial" w:hAnsi="Arial" w:cs="Arial"/>
          <w:b/>
        </w:rPr>
      </w:pPr>
    </w:p>
    <w:p w:rsidR="00B64E12" w:rsidRDefault="00024963" w:rsidP="00B64E12">
      <w:pPr>
        <w:shd w:val="clear" w:color="auto" w:fill="99CCFF"/>
        <w:jc w:val="center"/>
        <w:rPr>
          <w:rFonts w:ascii="Arial" w:hAnsi="Arial" w:cs="Arial"/>
          <w:b/>
          <w:noProof/>
          <w:lang w:eastAsia="tr-TR"/>
        </w:rPr>
      </w:pPr>
      <w:r>
        <w:rPr>
          <w:rFonts w:ascii="Arial" w:hAnsi="Arial" w:cs="Arial"/>
          <w:b/>
          <w:noProof/>
          <w:lang w:eastAsia="tr-TR"/>
        </w:rPr>
        <w:drawing>
          <wp:inline distT="0" distB="0" distL="0" distR="0">
            <wp:extent cx="3689405" cy="2768899"/>
            <wp:effectExtent l="0" t="0" r="6350" b="0"/>
            <wp:docPr id="10" name="Resim 10" descr="C:\Users\fatih.gonul\Desktop\fitur-foto\IMG-2014012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tih.gonul\Desktop\fitur-foto\IMG-20140129-WA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6455" cy="2774190"/>
                    </a:xfrm>
                    <a:prstGeom prst="rect">
                      <a:avLst/>
                    </a:prstGeom>
                    <a:noFill/>
                    <a:ln>
                      <a:noFill/>
                    </a:ln>
                  </pic:spPr>
                </pic:pic>
              </a:graphicData>
            </a:graphic>
          </wp:inline>
        </w:drawing>
      </w:r>
    </w:p>
    <w:p w:rsidR="00B64E12" w:rsidRDefault="00B64E12" w:rsidP="00B64E12">
      <w:pPr>
        <w:shd w:val="clear" w:color="auto" w:fill="99CCFF"/>
        <w:jc w:val="center"/>
        <w:rPr>
          <w:rFonts w:ascii="Arial" w:hAnsi="Arial" w:cs="Arial"/>
          <w:b/>
          <w:noProof/>
          <w:lang w:eastAsia="tr-TR"/>
        </w:rPr>
      </w:pPr>
    </w:p>
    <w:p w:rsidR="00B64E12" w:rsidRDefault="00B64E12" w:rsidP="00B64E12">
      <w:pPr>
        <w:shd w:val="clear" w:color="auto" w:fill="99CCFF"/>
        <w:jc w:val="center"/>
        <w:rPr>
          <w:rFonts w:ascii="Arial" w:hAnsi="Arial" w:cs="Arial"/>
          <w:b/>
        </w:rPr>
      </w:pPr>
      <w:r w:rsidRPr="0007350A">
        <w:rPr>
          <w:rFonts w:ascii="Arial" w:hAnsi="Arial" w:cs="Arial"/>
          <w:b/>
        </w:rPr>
        <w:object w:dxaOrig="7546" w:dyaOrig="3495">
          <v:shape id="_x0000_i1026" type="#_x0000_t75" style="width:161.3pt;height:74.3pt" o:ole="">
            <v:imagedata r:id="rId7" o:title=""/>
          </v:shape>
          <o:OLEObject Type="Embed" ProgID="MSPhotoEd.3" ShapeID="_x0000_i1026" DrawAspect="Content" ObjectID="_1452695456" r:id="rId10"/>
        </w:object>
      </w:r>
    </w:p>
    <w:p w:rsidR="00B64E12" w:rsidRDefault="00B64E12" w:rsidP="00B64E12">
      <w:pPr>
        <w:shd w:val="clear" w:color="auto" w:fill="99CCFF"/>
        <w:jc w:val="center"/>
        <w:rPr>
          <w:b/>
          <w:sz w:val="40"/>
          <w:szCs w:val="40"/>
        </w:rPr>
      </w:pPr>
      <w:r w:rsidRPr="0007350A">
        <w:rPr>
          <w:b/>
          <w:sz w:val="40"/>
          <w:szCs w:val="40"/>
        </w:rPr>
        <w:t>AR-GE BİRİMİ</w:t>
      </w:r>
    </w:p>
    <w:p w:rsidR="00024963" w:rsidRDefault="00024963" w:rsidP="00B64E12">
      <w:pPr>
        <w:shd w:val="clear" w:color="auto" w:fill="99CCFF"/>
        <w:jc w:val="center"/>
        <w:rPr>
          <w:b/>
          <w:sz w:val="40"/>
          <w:szCs w:val="40"/>
        </w:rPr>
      </w:pPr>
    </w:p>
    <w:p w:rsidR="00B64E12" w:rsidRDefault="00B64E12" w:rsidP="00B64E12">
      <w:pPr>
        <w:shd w:val="clear" w:color="auto" w:fill="FFFFFF" w:themeFill="background1"/>
        <w:jc w:val="both"/>
        <w:rPr>
          <w:b/>
          <w:sz w:val="28"/>
          <w:szCs w:val="28"/>
        </w:rPr>
      </w:pPr>
    </w:p>
    <w:p w:rsidR="000934C6" w:rsidRPr="003F38C5" w:rsidRDefault="000934C6" w:rsidP="000934C6">
      <w:pPr>
        <w:shd w:val="clear" w:color="auto" w:fill="8DB3E2" w:themeFill="text2" w:themeFillTint="66"/>
        <w:jc w:val="both"/>
        <w:rPr>
          <w:b/>
          <w:sz w:val="28"/>
          <w:szCs w:val="28"/>
        </w:rPr>
      </w:pPr>
      <w:r w:rsidRPr="003F38C5">
        <w:rPr>
          <w:b/>
          <w:sz w:val="28"/>
          <w:szCs w:val="28"/>
        </w:rPr>
        <w:lastRenderedPageBreak/>
        <w:t>TÜRSAB FITUR 2014 TURİZM FUAR RAPORU</w:t>
      </w:r>
    </w:p>
    <w:p w:rsidR="003F38C5" w:rsidRDefault="000934C6" w:rsidP="00793BE5">
      <w:pPr>
        <w:jc w:val="both"/>
      </w:pPr>
      <w:r>
        <w:t xml:space="preserve">Türkiye Seyahat </w:t>
      </w:r>
      <w:proofErr w:type="spellStart"/>
      <w:r>
        <w:t>Acentaları</w:t>
      </w:r>
      <w:proofErr w:type="spellEnd"/>
      <w:r>
        <w:t xml:space="preserve"> Birliği (TÜRSAB) bu yıl </w:t>
      </w:r>
      <w:r w:rsidR="0059318A">
        <w:t>22</w:t>
      </w:r>
      <w:r>
        <w:t>-</w:t>
      </w:r>
      <w:r w:rsidR="0059318A">
        <w:t>26</w:t>
      </w:r>
      <w:r>
        <w:t xml:space="preserve"> Ocak tarihleri arasında </w:t>
      </w:r>
      <w:r w:rsidR="0059318A">
        <w:t>İspanya’nın başkenti Madrid’de 34’üncüsü gerçekleştirilen F</w:t>
      </w:r>
      <w:r w:rsidR="006A0B3F">
        <w:t xml:space="preserve">ITUR Uluslararası </w:t>
      </w:r>
      <w:r w:rsidR="0059318A">
        <w:t xml:space="preserve">Turizm Fuarı’na </w:t>
      </w:r>
      <w:r>
        <w:t>ilişki</w:t>
      </w:r>
      <w:r w:rsidR="00324947">
        <w:t>n fuar sonuç raporunu açıkladı.</w:t>
      </w:r>
      <w:r w:rsidR="00A07C53">
        <w:t xml:space="preserve"> Son yıllarda Türkiye’ye gelen İspanyol turist sayısında yaşanan gerileme</w:t>
      </w:r>
      <w:r w:rsidR="00793BE5">
        <w:t>,</w:t>
      </w:r>
      <w:r w:rsidR="00A07C53">
        <w:t xml:space="preserve"> 2013 yılında </w:t>
      </w:r>
      <w:r w:rsidR="00C807CE">
        <w:t>yerini yüzde 4.41’lik artışa bırakırken</w:t>
      </w:r>
      <w:r w:rsidR="002F3A99">
        <w:t>,</w:t>
      </w:r>
      <w:r w:rsidR="00C807CE">
        <w:t xml:space="preserve"> yeniden yükselişe geçen İspanya pazarındaki gelişmeler F</w:t>
      </w:r>
      <w:r w:rsidR="006A0B3F">
        <w:t>ITUR</w:t>
      </w:r>
      <w:r w:rsidR="00C807CE">
        <w:t xml:space="preserve"> Fuarı’nda </w:t>
      </w:r>
      <w:r w:rsidR="00793BE5">
        <w:t xml:space="preserve">değerlendirildi. </w:t>
      </w:r>
      <w:r w:rsidR="00A6285B">
        <w:t xml:space="preserve">Araştırmaya göre; </w:t>
      </w:r>
      <w:r w:rsidR="00D246F8">
        <w:t>Avro Bölgesi'n</w:t>
      </w:r>
      <w:r w:rsidR="00D83DBF">
        <w:t>in</w:t>
      </w:r>
      <w:r w:rsidR="00D246F8">
        <w:t xml:space="preserve"> en yüksek işsizlik oranına sahip ülke</w:t>
      </w:r>
      <w:r w:rsidR="00D83DBF">
        <w:t>si</w:t>
      </w:r>
      <w:r w:rsidR="00D246F8">
        <w:t xml:space="preserve"> İspanya’da</w:t>
      </w:r>
      <w:r w:rsidR="00D83DBF">
        <w:t xml:space="preserve">n </w:t>
      </w:r>
      <w:r w:rsidR="00D246F8">
        <w:t>Türkiye’ye</w:t>
      </w:r>
      <w:r w:rsidR="00D83DBF">
        <w:t xml:space="preserve"> 2014 yılında </w:t>
      </w:r>
      <w:r w:rsidR="00D246F8">
        <w:t>gelecek turist sayısı</w:t>
      </w:r>
      <w:r w:rsidR="003F38C5">
        <w:t>nı,</w:t>
      </w:r>
      <w:r w:rsidR="00D83DBF">
        <w:t xml:space="preserve"> </w:t>
      </w:r>
      <w:r w:rsidR="00D246F8">
        <w:t xml:space="preserve">makroekonomik </w:t>
      </w:r>
      <w:r w:rsidR="008C1523">
        <w:t>dengeler</w:t>
      </w:r>
      <w:r w:rsidR="00D246F8">
        <w:t>d</w:t>
      </w:r>
      <w:r w:rsidR="008C1523">
        <w:t>e</w:t>
      </w:r>
      <w:r w:rsidR="00D246F8">
        <w:t xml:space="preserve"> yaşanacak </w:t>
      </w:r>
      <w:r w:rsidR="00D83DBF">
        <w:t>gelişme</w:t>
      </w:r>
      <w:r w:rsidR="003F38C5">
        <w:t xml:space="preserve">ler </w:t>
      </w:r>
      <w:r w:rsidR="00D246F8">
        <w:t xml:space="preserve">ve </w:t>
      </w:r>
      <w:r w:rsidR="008C1523">
        <w:t>Paskalya dönemi satışları</w:t>
      </w:r>
      <w:r w:rsidR="003F38C5">
        <w:t xml:space="preserve"> belirleyecek.</w:t>
      </w:r>
    </w:p>
    <w:p w:rsidR="00D246F8" w:rsidRPr="00D246F8" w:rsidRDefault="003F38C5" w:rsidP="00D246F8">
      <w:pPr>
        <w:jc w:val="both"/>
        <w:rPr>
          <w:b/>
        </w:rPr>
      </w:pPr>
      <w:r>
        <w:rPr>
          <w:b/>
        </w:rPr>
        <w:t>İSPANYA EKONOMİSİ VE TURİZM</w:t>
      </w:r>
    </w:p>
    <w:p w:rsidR="008C1523" w:rsidRDefault="00A4565A" w:rsidP="00324947">
      <w:pPr>
        <w:jc w:val="both"/>
      </w:pPr>
      <w:r>
        <w:t xml:space="preserve">Uluslararası Para Fonu (IMF) verilerine göre </w:t>
      </w:r>
      <w:r w:rsidR="00A245E1">
        <w:t>İspanya ekonomisi 2012 yılı</w:t>
      </w:r>
      <w:r>
        <w:t xml:space="preserve">nda </w:t>
      </w:r>
      <w:r w:rsidR="00A245E1">
        <w:t xml:space="preserve">1 trilyon 322,5 milyar dolarlık </w:t>
      </w:r>
      <w:r w:rsidR="007542FC">
        <w:t xml:space="preserve">bir büyüklük oluşturdu. </w:t>
      </w:r>
      <w:r w:rsidR="004A69CF">
        <w:t xml:space="preserve">Yine IMF verilerine göre İspanya’da kişi başına düşen milli gelir ise 27 bin 670 dolar </w:t>
      </w:r>
      <w:r w:rsidR="00B43C8A">
        <w:t>düzeyinde gerçekleşti.</w:t>
      </w:r>
      <w:r w:rsidR="00AD6F39">
        <w:t xml:space="preserve"> İspanya Ulusal İstatistik Enstitüsü (INE) tarafından açıklanan 2013 yılı verilerine göre</w:t>
      </w:r>
      <w:r w:rsidR="008251A8">
        <w:t xml:space="preserve"> </w:t>
      </w:r>
      <w:r w:rsidR="00AD6F39">
        <w:t xml:space="preserve">ülkedeki işsizlik </w:t>
      </w:r>
      <w:r w:rsidR="006A0B3F">
        <w:t xml:space="preserve">oranı </w:t>
      </w:r>
      <w:r w:rsidR="008251A8">
        <w:t xml:space="preserve">ise </w:t>
      </w:r>
      <w:r w:rsidR="00AD6F39">
        <w:t>yüzde 26,3 oldu.</w:t>
      </w:r>
    </w:p>
    <w:tbl>
      <w:tblPr>
        <w:tblStyle w:val="TabloKlavuzu"/>
        <w:tblW w:w="0" w:type="auto"/>
        <w:tblLook w:val="04A0" w:firstRow="1" w:lastRow="0" w:firstColumn="1" w:lastColumn="0" w:noHBand="0" w:noVBand="1"/>
      </w:tblPr>
      <w:tblGrid>
        <w:gridCol w:w="3070"/>
        <w:gridCol w:w="3275"/>
        <w:gridCol w:w="2867"/>
      </w:tblGrid>
      <w:tr w:rsidR="00B43C8A" w:rsidTr="001C78A4">
        <w:tc>
          <w:tcPr>
            <w:tcW w:w="9212" w:type="dxa"/>
            <w:gridSpan w:val="3"/>
            <w:shd w:val="clear" w:color="auto" w:fill="D9D9D9" w:themeFill="background1" w:themeFillShade="D9"/>
          </w:tcPr>
          <w:p w:rsidR="00B43C8A" w:rsidRPr="00B43C8A" w:rsidRDefault="00B43C8A" w:rsidP="00B43C8A">
            <w:pPr>
              <w:jc w:val="center"/>
              <w:rPr>
                <w:b/>
              </w:rPr>
            </w:pPr>
            <w:r w:rsidRPr="00B43C8A">
              <w:rPr>
                <w:b/>
              </w:rPr>
              <w:t>İSPANYA EKONOMİK VERİLER</w:t>
            </w:r>
          </w:p>
        </w:tc>
      </w:tr>
      <w:tr w:rsidR="00B43C8A" w:rsidTr="005E3D26">
        <w:tc>
          <w:tcPr>
            <w:tcW w:w="3070" w:type="dxa"/>
            <w:shd w:val="clear" w:color="auto" w:fill="C2D69B" w:themeFill="accent3" w:themeFillTint="99"/>
          </w:tcPr>
          <w:p w:rsidR="00B43C8A" w:rsidRPr="005E3D26" w:rsidRDefault="00B43C8A" w:rsidP="00B43C8A">
            <w:pPr>
              <w:jc w:val="center"/>
              <w:rPr>
                <w:b/>
              </w:rPr>
            </w:pPr>
            <w:r w:rsidRPr="005E3D26">
              <w:rPr>
                <w:b/>
              </w:rPr>
              <w:t>GSMH</w:t>
            </w:r>
            <w:r w:rsidR="00D246F8" w:rsidRPr="005E3D26">
              <w:rPr>
                <w:b/>
              </w:rPr>
              <w:t xml:space="preserve"> </w:t>
            </w:r>
            <w:r w:rsidR="005E3D26" w:rsidRPr="005E3D26">
              <w:rPr>
                <w:b/>
              </w:rPr>
              <w:t>(2012)</w:t>
            </w:r>
          </w:p>
        </w:tc>
        <w:tc>
          <w:tcPr>
            <w:tcW w:w="3275" w:type="dxa"/>
            <w:shd w:val="clear" w:color="auto" w:fill="C2D69B" w:themeFill="accent3" w:themeFillTint="99"/>
          </w:tcPr>
          <w:p w:rsidR="00B43C8A" w:rsidRPr="005E3D26" w:rsidRDefault="00B43C8A" w:rsidP="00B43C8A">
            <w:pPr>
              <w:jc w:val="center"/>
              <w:rPr>
                <w:b/>
              </w:rPr>
            </w:pPr>
            <w:r w:rsidRPr="005E3D26">
              <w:rPr>
                <w:b/>
              </w:rPr>
              <w:t>KİŞİBAŞI</w:t>
            </w:r>
            <w:r w:rsidR="005E3D26" w:rsidRPr="005E3D26">
              <w:rPr>
                <w:b/>
              </w:rPr>
              <w:t>NA DÜŞEN</w:t>
            </w:r>
            <w:r w:rsidRPr="005E3D26">
              <w:rPr>
                <w:b/>
              </w:rPr>
              <w:t xml:space="preserve"> GELİR</w:t>
            </w:r>
            <w:r w:rsidR="005E3D26" w:rsidRPr="005E3D26">
              <w:rPr>
                <w:b/>
              </w:rPr>
              <w:t xml:space="preserve"> (2012)</w:t>
            </w:r>
          </w:p>
        </w:tc>
        <w:tc>
          <w:tcPr>
            <w:tcW w:w="2867" w:type="dxa"/>
            <w:shd w:val="clear" w:color="auto" w:fill="C2D69B" w:themeFill="accent3" w:themeFillTint="99"/>
          </w:tcPr>
          <w:p w:rsidR="00B43C8A" w:rsidRPr="005E3D26" w:rsidRDefault="00B43C8A" w:rsidP="00B43C8A">
            <w:pPr>
              <w:jc w:val="center"/>
              <w:rPr>
                <w:b/>
              </w:rPr>
            </w:pPr>
            <w:r w:rsidRPr="005E3D26">
              <w:rPr>
                <w:b/>
              </w:rPr>
              <w:t>İŞSİZLİK ORANI</w:t>
            </w:r>
            <w:r w:rsidR="005E3D26">
              <w:rPr>
                <w:b/>
              </w:rPr>
              <w:t xml:space="preserve"> (2013)</w:t>
            </w:r>
          </w:p>
        </w:tc>
      </w:tr>
      <w:tr w:rsidR="00B43C8A" w:rsidTr="005E3D26">
        <w:tc>
          <w:tcPr>
            <w:tcW w:w="3070" w:type="dxa"/>
            <w:shd w:val="clear" w:color="auto" w:fill="95B3D7" w:themeFill="accent1" w:themeFillTint="99"/>
          </w:tcPr>
          <w:p w:rsidR="00B43C8A" w:rsidRDefault="00B43C8A" w:rsidP="001C78A4">
            <w:pPr>
              <w:jc w:val="center"/>
            </w:pPr>
            <w:r>
              <w:t>1 322 500</w:t>
            </w:r>
            <w:r w:rsidR="00D246F8">
              <w:t xml:space="preserve"> 000 000 </w:t>
            </w:r>
          </w:p>
        </w:tc>
        <w:tc>
          <w:tcPr>
            <w:tcW w:w="3275" w:type="dxa"/>
            <w:shd w:val="clear" w:color="auto" w:fill="95B3D7" w:themeFill="accent1" w:themeFillTint="99"/>
          </w:tcPr>
          <w:p w:rsidR="00B43C8A" w:rsidRDefault="00B43C8A" w:rsidP="001C78A4">
            <w:pPr>
              <w:jc w:val="center"/>
            </w:pPr>
            <w:r>
              <w:t>27 670</w:t>
            </w:r>
          </w:p>
        </w:tc>
        <w:tc>
          <w:tcPr>
            <w:tcW w:w="2867" w:type="dxa"/>
            <w:shd w:val="clear" w:color="auto" w:fill="95B3D7" w:themeFill="accent1" w:themeFillTint="99"/>
          </w:tcPr>
          <w:p w:rsidR="00B43C8A" w:rsidRDefault="005E3D26" w:rsidP="005E3D26">
            <w:pPr>
              <w:jc w:val="center"/>
            </w:pPr>
            <w:r>
              <w:t>%26,3</w:t>
            </w:r>
          </w:p>
        </w:tc>
      </w:tr>
    </w:tbl>
    <w:p w:rsidR="00B43C8A" w:rsidRDefault="005E3D26" w:rsidP="00324947">
      <w:pPr>
        <w:jc w:val="both"/>
      </w:pPr>
      <w:r>
        <w:t>Kaynak: IMF ve İspanya Ulusal İstatistik Enstitüsü (INE)</w:t>
      </w:r>
    </w:p>
    <w:p w:rsidR="00652464" w:rsidRDefault="005F299F" w:rsidP="00324947">
      <w:pPr>
        <w:jc w:val="both"/>
      </w:pPr>
      <w:r>
        <w:t>Dünyanın en çok turist çeken ülkeleri arasında yer alan İspanya’da</w:t>
      </w:r>
      <w:r w:rsidR="00652464">
        <w:t>,</w:t>
      </w:r>
      <w:r>
        <w:t xml:space="preserve"> turizm sektörü yarattığı katma değer ve istihdamla dikkat çekiyor. </w:t>
      </w:r>
      <w:r w:rsidR="007542FC">
        <w:t>İspanya Ulusal İstatistik Enstitüsü</w:t>
      </w:r>
      <w:r>
        <w:t xml:space="preserve">’nün </w:t>
      </w:r>
      <w:r w:rsidR="00A9009E">
        <w:t xml:space="preserve">(INE) </w:t>
      </w:r>
      <w:r w:rsidR="007542FC">
        <w:t>verilerine göre</w:t>
      </w:r>
      <w:r>
        <w:t xml:space="preserve"> 2012 yılında </w:t>
      </w:r>
      <w:r w:rsidR="007542FC">
        <w:t>ülkedeki g</w:t>
      </w:r>
      <w:r w:rsidR="00A245E1">
        <w:t xml:space="preserve">ayri </w:t>
      </w:r>
      <w:r w:rsidR="007542FC">
        <w:t>s</w:t>
      </w:r>
      <w:r w:rsidR="00A245E1">
        <w:t xml:space="preserve">afi </w:t>
      </w:r>
      <w:r w:rsidR="007542FC">
        <w:t>m</w:t>
      </w:r>
      <w:r w:rsidR="00A245E1">
        <w:t xml:space="preserve">illi </w:t>
      </w:r>
      <w:r w:rsidR="007542FC">
        <w:t>h</w:t>
      </w:r>
      <w:r w:rsidR="00A245E1">
        <w:t>asılanın</w:t>
      </w:r>
      <w:r w:rsidR="007542FC">
        <w:t xml:space="preserve"> (GSMH)</w:t>
      </w:r>
      <w:r w:rsidR="00A245E1">
        <w:t xml:space="preserve"> yüzde </w:t>
      </w:r>
      <w:proofErr w:type="gramStart"/>
      <w:r w:rsidR="00A245E1">
        <w:t>10.9’unu</w:t>
      </w:r>
      <w:proofErr w:type="gramEnd"/>
      <w:r w:rsidR="00A245E1">
        <w:t xml:space="preserve"> turizm sektörü oluşturu</w:t>
      </w:r>
      <w:r>
        <w:t xml:space="preserve">rken </w:t>
      </w:r>
      <w:r w:rsidR="00A245E1">
        <w:t>sektörü</w:t>
      </w:r>
      <w:r>
        <w:t>n</w:t>
      </w:r>
      <w:r w:rsidR="007E35A7">
        <w:t xml:space="preserve"> ülke istihdam</w:t>
      </w:r>
      <w:r>
        <w:t xml:space="preserve">a katkısı </w:t>
      </w:r>
      <w:r w:rsidR="00A245E1">
        <w:t>yüzde 11,9</w:t>
      </w:r>
      <w:r>
        <w:t xml:space="preserve"> düzeyinde bulunuyor.</w:t>
      </w:r>
    </w:p>
    <w:p w:rsidR="001C78A4" w:rsidRDefault="001C78A4" w:rsidP="00324947">
      <w:pPr>
        <w:jc w:val="both"/>
      </w:pPr>
      <w:r>
        <w:rPr>
          <w:noProof/>
          <w:lang w:eastAsia="tr-TR"/>
        </w:rPr>
        <w:drawing>
          <wp:inline distT="0" distB="0" distL="0" distR="0">
            <wp:extent cx="5486400" cy="2432649"/>
            <wp:effectExtent l="38100" t="38100" r="133350" b="120650"/>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C78A4" w:rsidRDefault="001C78A4" w:rsidP="00A4565A">
      <w:pPr>
        <w:jc w:val="both"/>
      </w:pPr>
      <w:r>
        <w:t>*</w:t>
      </w:r>
      <w:r w:rsidR="002B3AEA">
        <w:t xml:space="preserve"> Kaynak: </w:t>
      </w:r>
      <w:r w:rsidR="005E3D26">
        <w:t>INE</w:t>
      </w:r>
      <w:r w:rsidR="00A25227">
        <w:t xml:space="preserve"> </w:t>
      </w:r>
      <w:r w:rsidR="005E3D26">
        <w:t xml:space="preserve">- </w:t>
      </w:r>
      <w:r w:rsidRPr="001C78A4">
        <w:t xml:space="preserve">CIA World </w:t>
      </w:r>
      <w:proofErr w:type="spellStart"/>
      <w:r w:rsidRPr="001C78A4">
        <w:t>Factbook</w:t>
      </w:r>
      <w:proofErr w:type="spellEnd"/>
    </w:p>
    <w:p w:rsidR="00CD77C4" w:rsidRDefault="005E3D26" w:rsidP="00A4565A">
      <w:pPr>
        <w:jc w:val="both"/>
        <w:rPr>
          <w:b/>
        </w:rPr>
      </w:pPr>
      <w:r>
        <w:rPr>
          <w:b/>
        </w:rPr>
        <w:t xml:space="preserve">İSPANYA </w:t>
      </w:r>
      <w:r w:rsidR="00CD77C4">
        <w:rPr>
          <w:b/>
        </w:rPr>
        <w:t>60 MİLYON ZİYARETÇİ SAYISINI AŞTI</w:t>
      </w:r>
    </w:p>
    <w:p w:rsidR="00A25227" w:rsidRDefault="00A25227" w:rsidP="00A4565A">
      <w:pPr>
        <w:jc w:val="both"/>
      </w:pPr>
      <w:r>
        <w:t xml:space="preserve">2002 yılında </w:t>
      </w:r>
      <w:proofErr w:type="gramStart"/>
      <w:r>
        <w:t>51.7</w:t>
      </w:r>
      <w:proofErr w:type="gramEnd"/>
      <w:r>
        <w:t xml:space="preserve"> milyon yabancı ziyaretçi ağırlayarak 50 milyon turist sınırını aşan İspanya,</w:t>
      </w:r>
      <w:r w:rsidR="005F299F">
        <w:t xml:space="preserve"> </w:t>
      </w:r>
      <w:r>
        <w:t>küresel ekonomik krizle birlikte yaşadığı düşüşün ardından</w:t>
      </w:r>
      <w:r w:rsidR="002F3A99">
        <w:t>,</w:t>
      </w:r>
      <w:r w:rsidR="008251A8">
        <w:t xml:space="preserve"> son yıllarda yine </w:t>
      </w:r>
      <w:r w:rsidR="001B2FB0">
        <w:t xml:space="preserve">toparlanma sürecine girdi. 2009 yılında ziyaretçi sayısı 52,2 milyona gerileyen </w:t>
      </w:r>
      <w:r w:rsidR="00AD6F39">
        <w:t>ülke,</w:t>
      </w:r>
      <w:r w:rsidR="001B2FB0">
        <w:t xml:space="preserve"> sonraki yıllarda hızlı bir büyüme kayde</w:t>
      </w:r>
      <w:r w:rsidR="00AD6F39">
        <w:t xml:space="preserve">tti ve </w:t>
      </w:r>
      <w:r>
        <w:t>2013 yılı sonunda 60 milyon s</w:t>
      </w:r>
      <w:r w:rsidR="001B2FB0">
        <w:t xml:space="preserve">ınırını </w:t>
      </w:r>
      <w:r>
        <w:t>aşmayı başardı.</w:t>
      </w:r>
    </w:p>
    <w:p w:rsidR="00A25227" w:rsidRDefault="00766775" w:rsidP="00A4565A">
      <w:pPr>
        <w:jc w:val="both"/>
      </w:pPr>
      <w:r>
        <w:rPr>
          <w:noProof/>
          <w:lang w:eastAsia="tr-TR"/>
        </w:rPr>
        <w:lastRenderedPageBreak/>
        <w:drawing>
          <wp:inline distT="0" distB="0" distL="0" distR="0" wp14:anchorId="65F84654" wp14:editId="00AEF49D">
            <wp:extent cx="5495026" cy="2967487"/>
            <wp:effectExtent l="38100" t="38100" r="125095" b="118745"/>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83DBF" w:rsidRDefault="00AE5B8D" w:rsidP="00A4565A">
      <w:pPr>
        <w:jc w:val="both"/>
      </w:pPr>
      <w:r>
        <w:t xml:space="preserve">Kaynak: </w:t>
      </w:r>
      <w:r w:rsidR="00D83DBF">
        <w:t>UNWTO</w:t>
      </w:r>
      <w:r>
        <w:t xml:space="preserve"> ve </w:t>
      </w:r>
      <w:r w:rsidR="004321B9">
        <w:t>IET</w:t>
      </w:r>
    </w:p>
    <w:p w:rsidR="00A6285B" w:rsidRDefault="00337FFB" w:rsidP="00A4565A">
      <w:pPr>
        <w:jc w:val="both"/>
        <w:rPr>
          <w:b/>
        </w:rPr>
      </w:pPr>
      <w:r w:rsidRPr="00337FFB">
        <w:rPr>
          <w:b/>
        </w:rPr>
        <w:t>RUS</w:t>
      </w:r>
      <w:r w:rsidR="00A6285B">
        <w:rPr>
          <w:b/>
        </w:rPr>
        <w:t>YA</w:t>
      </w:r>
      <w:r w:rsidR="00336EE9">
        <w:rPr>
          <w:b/>
        </w:rPr>
        <w:t>’</w:t>
      </w:r>
      <w:r w:rsidR="00A6285B">
        <w:rPr>
          <w:b/>
        </w:rPr>
        <w:t xml:space="preserve">DAN İSPANYA’YA GİDEN TURİST SAYISINDA </w:t>
      </w:r>
      <w:r>
        <w:rPr>
          <w:b/>
        </w:rPr>
        <w:t>CİDDİ ARTIŞ</w:t>
      </w:r>
    </w:p>
    <w:p w:rsidR="00337FFB" w:rsidRDefault="00337FFB" w:rsidP="00A4565A">
      <w:pPr>
        <w:jc w:val="both"/>
      </w:pPr>
      <w:r>
        <w:t>İspanya Turizm Araştırmaları Enstitüsü (IET) tarafından açıklanan son verilere göre 2013 yılında İspanya’yı ziyaret eden yabancı turist sayısı 60 milyon 661 bin kişiye ulaşırken ülkenin en büyük pazarını Birleşik Krallık</w:t>
      </w:r>
      <w:r w:rsidR="008251A8">
        <w:t xml:space="preserve"> (İngiltere, İskoçya, Galler, Kuzey İrlanda)</w:t>
      </w:r>
      <w:r w:rsidR="006A0B3F">
        <w:t xml:space="preserve"> oluştu</w:t>
      </w:r>
      <w:r>
        <w:t xml:space="preserve">rdu. Birleşik </w:t>
      </w:r>
      <w:proofErr w:type="spellStart"/>
      <w:r>
        <w:t>Krallık’tan</w:t>
      </w:r>
      <w:proofErr w:type="spellEnd"/>
      <w:r>
        <w:t xml:space="preserve"> 14 milyonu aşkın kişi İspanya’ya giderken onları 9 milyon 854 bin Alman tatilci izledi. Türkiye için en önemli pazarlardan biri konumundaki Rusya’dan İspanya’ya giden turist sayısı da 2013 yılında yüzde </w:t>
      </w:r>
      <w:proofErr w:type="gramStart"/>
      <w:r>
        <w:t>31.6’lık</w:t>
      </w:r>
      <w:proofErr w:type="gramEnd"/>
      <w:r>
        <w:t xml:space="preserve"> artışla dikkat çekti.</w:t>
      </w:r>
    </w:p>
    <w:tbl>
      <w:tblPr>
        <w:tblStyle w:val="TabloKlavuzu"/>
        <w:tblW w:w="0" w:type="auto"/>
        <w:tblLook w:val="04A0" w:firstRow="1" w:lastRow="0" w:firstColumn="1" w:lastColumn="0" w:noHBand="0" w:noVBand="1"/>
      </w:tblPr>
      <w:tblGrid>
        <w:gridCol w:w="2303"/>
        <w:gridCol w:w="2058"/>
        <w:gridCol w:w="2268"/>
        <w:gridCol w:w="2583"/>
      </w:tblGrid>
      <w:tr w:rsidR="00337FFB" w:rsidTr="00A566F5">
        <w:tc>
          <w:tcPr>
            <w:tcW w:w="9212" w:type="dxa"/>
            <w:gridSpan w:val="4"/>
            <w:shd w:val="clear" w:color="auto" w:fill="D9D9D9" w:themeFill="background1" w:themeFillShade="D9"/>
          </w:tcPr>
          <w:p w:rsidR="00337FFB" w:rsidRDefault="00337FFB" w:rsidP="00A566F5">
            <w:pPr>
              <w:jc w:val="center"/>
              <w:rPr>
                <w:b/>
              </w:rPr>
            </w:pPr>
            <w:r w:rsidRPr="00921A63">
              <w:rPr>
                <w:b/>
              </w:rPr>
              <w:t>İSPANYA</w:t>
            </w:r>
            <w:r>
              <w:rPr>
                <w:b/>
              </w:rPr>
              <w:t xml:space="preserve">’YA </w:t>
            </w:r>
            <w:r w:rsidRPr="00921A63">
              <w:rPr>
                <w:b/>
              </w:rPr>
              <w:t>2013</w:t>
            </w:r>
            <w:r>
              <w:rPr>
                <w:b/>
              </w:rPr>
              <w:t xml:space="preserve"> YILINDA GİDEN TURİSTLERİN</w:t>
            </w:r>
          </w:p>
          <w:p w:rsidR="00337FFB" w:rsidRPr="00921A63" w:rsidRDefault="00337FFB" w:rsidP="00A566F5">
            <w:pPr>
              <w:jc w:val="center"/>
              <w:rPr>
                <w:b/>
              </w:rPr>
            </w:pPr>
            <w:r>
              <w:rPr>
                <w:b/>
              </w:rPr>
              <w:t>ÜLKELERE GÖRE DAĞILIMI</w:t>
            </w:r>
          </w:p>
        </w:tc>
      </w:tr>
      <w:tr w:rsidR="00337FFB" w:rsidTr="00A566F5">
        <w:tc>
          <w:tcPr>
            <w:tcW w:w="2303" w:type="dxa"/>
            <w:shd w:val="clear" w:color="auto" w:fill="92D050"/>
          </w:tcPr>
          <w:p w:rsidR="00337FFB" w:rsidRPr="00921A63" w:rsidRDefault="00337FFB" w:rsidP="00A566F5">
            <w:pPr>
              <w:jc w:val="both"/>
              <w:rPr>
                <w:b/>
              </w:rPr>
            </w:pPr>
            <w:r w:rsidRPr="00921A63">
              <w:rPr>
                <w:b/>
              </w:rPr>
              <w:t>ÜLKE</w:t>
            </w:r>
          </w:p>
        </w:tc>
        <w:tc>
          <w:tcPr>
            <w:tcW w:w="2058" w:type="dxa"/>
            <w:shd w:val="clear" w:color="auto" w:fill="92D050"/>
          </w:tcPr>
          <w:p w:rsidR="00337FFB" w:rsidRDefault="00337FFB" w:rsidP="00A566F5">
            <w:pPr>
              <w:jc w:val="both"/>
            </w:pPr>
            <w:r>
              <w:t>TOPLAM ZİYARETÇİ</w:t>
            </w:r>
          </w:p>
        </w:tc>
        <w:tc>
          <w:tcPr>
            <w:tcW w:w="2268" w:type="dxa"/>
            <w:shd w:val="clear" w:color="auto" w:fill="92D050"/>
          </w:tcPr>
          <w:p w:rsidR="00337FFB" w:rsidRDefault="00337FFB" w:rsidP="00A566F5">
            <w:pPr>
              <w:jc w:val="both"/>
            </w:pPr>
            <w:r>
              <w:t>TOPLAM İÇİNDEKİ PAY</w:t>
            </w:r>
          </w:p>
        </w:tc>
        <w:tc>
          <w:tcPr>
            <w:tcW w:w="2583" w:type="dxa"/>
            <w:shd w:val="clear" w:color="auto" w:fill="92D050"/>
          </w:tcPr>
          <w:p w:rsidR="00337FFB" w:rsidRDefault="00337FFB" w:rsidP="00A566F5">
            <w:pPr>
              <w:jc w:val="both"/>
            </w:pPr>
            <w:r>
              <w:t>ÖNCEKİ YILA GÖRE FARK</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BİRLEŞİK KRALLIK</w:t>
            </w:r>
          </w:p>
        </w:tc>
        <w:tc>
          <w:tcPr>
            <w:tcW w:w="2058" w:type="dxa"/>
            <w:shd w:val="clear" w:color="auto" w:fill="95B3D7" w:themeFill="accent1" w:themeFillTint="99"/>
          </w:tcPr>
          <w:p w:rsidR="00337FFB" w:rsidRDefault="00337FFB" w:rsidP="00A566F5">
            <w:pPr>
              <w:jc w:val="center"/>
            </w:pPr>
            <w:r>
              <w:t>14 327 277</w:t>
            </w:r>
          </w:p>
        </w:tc>
        <w:tc>
          <w:tcPr>
            <w:tcW w:w="2268" w:type="dxa"/>
            <w:shd w:val="clear" w:color="auto" w:fill="95B3D7" w:themeFill="accent1" w:themeFillTint="99"/>
          </w:tcPr>
          <w:p w:rsidR="00337FFB" w:rsidRDefault="00337FFB" w:rsidP="00A566F5">
            <w:pPr>
              <w:jc w:val="center"/>
            </w:pPr>
            <w:r>
              <w:t>% 23,6</w:t>
            </w:r>
          </w:p>
        </w:tc>
        <w:tc>
          <w:tcPr>
            <w:tcW w:w="2583" w:type="dxa"/>
            <w:shd w:val="clear" w:color="auto" w:fill="95B3D7" w:themeFill="accent1" w:themeFillTint="99"/>
          </w:tcPr>
          <w:p w:rsidR="00337FFB" w:rsidRDefault="00337FFB" w:rsidP="00A566F5">
            <w:pPr>
              <w:jc w:val="center"/>
            </w:pPr>
            <w:r>
              <w:t>% 5,2</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ALMANYA</w:t>
            </w:r>
          </w:p>
        </w:tc>
        <w:tc>
          <w:tcPr>
            <w:tcW w:w="2058" w:type="dxa"/>
            <w:shd w:val="clear" w:color="auto" w:fill="95B3D7" w:themeFill="accent1" w:themeFillTint="99"/>
          </w:tcPr>
          <w:p w:rsidR="00337FFB" w:rsidRDefault="00337FFB" w:rsidP="00A566F5">
            <w:pPr>
              <w:jc w:val="center"/>
            </w:pPr>
            <w:r>
              <w:t>9 854 760</w:t>
            </w:r>
          </w:p>
        </w:tc>
        <w:tc>
          <w:tcPr>
            <w:tcW w:w="2268" w:type="dxa"/>
            <w:shd w:val="clear" w:color="auto" w:fill="95B3D7" w:themeFill="accent1" w:themeFillTint="99"/>
          </w:tcPr>
          <w:p w:rsidR="00337FFB" w:rsidRDefault="00337FFB" w:rsidP="00A566F5">
            <w:pPr>
              <w:jc w:val="center"/>
            </w:pPr>
            <w:r>
              <w:t>% 16,2</w:t>
            </w:r>
          </w:p>
        </w:tc>
        <w:tc>
          <w:tcPr>
            <w:tcW w:w="2583" w:type="dxa"/>
            <w:shd w:val="clear" w:color="auto" w:fill="95B3D7" w:themeFill="accent1" w:themeFillTint="99"/>
          </w:tcPr>
          <w:p w:rsidR="00337FFB" w:rsidRDefault="00337FFB" w:rsidP="00A566F5">
            <w:pPr>
              <w:jc w:val="center"/>
            </w:pPr>
            <w:r>
              <w:t>% 5,8</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FRANSA</w:t>
            </w:r>
          </w:p>
        </w:tc>
        <w:tc>
          <w:tcPr>
            <w:tcW w:w="2058" w:type="dxa"/>
            <w:shd w:val="clear" w:color="auto" w:fill="95B3D7" w:themeFill="accent1" w:themeFillTint="99"/>
          </w:tcPr>
          <w:p w:rsidR="00337FFB" w:rsidRDefault="00337FFB" w:rsidP="00A566F5">
            <w:pPr>
              <w:jc w:val="center"/>
            </w:pPr>
            <w:r>
              <w:t>9 525 432</w:t>
            </w:r>
          </w:p>
        </w:tc>
        <w:tc>
          <w:tcPr>
            <w:tcW w:w="2268" w:type="dxa"/>
            <w:shd w:val="clear" w:color="auto" w:fill="95B3D7" w:themeFill="accent1" w:themeFillTint="99"/>
          </w:tcPr>
          <w:p w:rsidR="00337FFB" w:rsidRDefault="00337FFB" w:rsidP="00A566F5">
            <w:pPr>
              <w:jc w:val="center"/>
            </w:pPr>
            <w:r>
              <w:t>% 15,7</w:t>
            </w:r>
          </w:p>
        </w:tc>
        <w:tc>
          <w:tcPr>
            <w:tcW w:w="2583" w:type="dxa"/>
            <w:shd w:val="clear" w:color="auto" w:fill="95B3D7" w:themeFill="accent1" w:themeFillTint="99"/>
          </w:tcPr>
          <w:p w:rsidR="00337FFB" w:rsidRDefault="00337FFB" w:rsidP="00A566F5">
            <w:pPr>
              <w:jc w:val="center"/>
            </w:pPr>
            <w:r>
              <w:t>% 6,9</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İSKANDİNAV ÜLK.</w:t>
            </w:r>
          </w:p>
        </w:tc>
        <w:tc>
          <w:tcPr>
            <w:tcW w:w="2058" w:type="dxa"/>
            <w:shd w:val="clear" w:color="auto" w:fill="95B3D7" w:themeFill="accent1" w:themeFillTint="99"/>
          </w:tcPr>
          <w:p w:rsidR="00337FFB" w:rsidRDefault="00337FFB" w:rsidP="00A566F5">
            <w:pPr>
              <w:jc w:val="center"/>
            </w:pPr>
            <w:r>
              <w:t>4 874 749</w:t>
            </w:r>
          </w:p>
        </w:tc>
        <w:tc>
          <w:tcPr>
            <w:tcW w:w="2268" w:type="dxa"/>
            <w:shd w:val="clear" w:color="auto" w:fill="95B3D7" w:themeFill="accent1" w:themeFillTint="99"/>
          </w:tcPr>
          <w:p w:rsidR="00337FFB" w:rsidRDefault="00337FFB" w:rsidP="00A566F5">
            <w:pPr>
              <w:jc w:val="center"/>
            </w:pPr>
            <w:r>
              <w:t>% 8,0</w:t>
            </w:r>
          </w:p>
        </w:tc>
        <w:tc>
          <w:tcPr>
            <w:tcW w:w="2583" w:type="dxa"/>
            <w:shd w:val="clear" w:color="auto" w:fill="95B3D7" w:themeFill="accent1" w:themeFillTint="99"/>
          </w:tcPr>
          <w:p w:rsidR="00337FFB" w:rsidRDefault="00337FFB" w:rsidP="00A566F5">
            <w:pPr>
              <w:jc w:val="center"/>
            </w:pPr>
            <w:r>
              <w:t>% 16,9</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İTALYA</w:t>
            </w:r>
          </w:p>
        </w:tc>
        <w:tc>
          <w:tcPr>
            <w:tcW w:w="2058" w:type="dxa"/>
            <w:shd w:val="clear" w:color="auto" w:fill="95B3D7" w:themeFill="accent1" w:themeFillTint="99"/>
          </w:tcPr>
          <w:p w:rsidR="00337FFB" w:rsidRDefault="00337FFB" w:rsidP="00A566F5">
            <w:pPr>
              <w:jc w:val="center"/>
            </w:pPr>
            <w:r>
              <w:t>3 251 019</w:t>
            </w:r>
          </w:p>
        </w:tc>
        <w:tc>
          <w:tcPr>
            <w:tcW w:w="2268" w:type="dxa"/>
            <w:shd w:val="clear" w:color="auto" w:fill="95B3D7" w:themeFill="accent1" w:themeFillTint="99"/>
          </w:tcPr>
          <w:p w:rsidR="00337FFB" w:rsidRDefault="00337FFB" w:rsidP="00A566F5">
            <w:pPr>
              <w:jc w:val="center"/>
            </w:pPr>
            <w:r>
              <w:t>% 5,4</w:t>
            </w:r>
          </w:p>
        </w:tc>
        <w:tc>
          <w:tcPr>
            <w:tcW w:w="2583" w:type="dxa"/>
            <w:shd w:val="clear" w:color="auto" w:fill="95B3D7" w:themeFill="accent1" w:themeFillTint="99"/>
          </w:tcPr>
          <w:p w:rsidR="00337FFB" w:rsidRDefault="00337FFB" w:rsidP="00A566F5">
            <w:pPr>
              <w:jc w:val="center"/>
            </w:pPr>
            <w:r>
              <w:t>% -8,1</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HOLLANDA</w:t>
            </w:r>
          </w:p>
        </w:tc>
        <w:tc>
          <w:tcPr>
            <w:tcW w:w="2058" w:type="dxa"/>
            <w:shd w:val="clear" w:color="auto" w:fill="95B3D7" w:themeFill="accent1" w:themeFillTint="99"/>
          </w:tcPr>
          <w:p w:rsidR="00337FFB" w:rsidRDefault="00337FFB" w:rsidP="00A566F5">
            <w:pPr>
              <w:jc w:val="center"/>
            </w:pPr>
            <w:r>
              <w:t>2 617 460</w:t>
            </w:r>
          </w:p>
        </w:tc>
        <w:tc>
          <w:tcPr>
            <w:tcW w:w="2268" w:type="dxa"/>
            <w:shd w:val="clear" w:color="auto" w:fill="95B3D7" w:themeFill="accent1" w:themeFillTint="99"/>
          </w:tcPr>
          <w:p w:rsidR="00337FFB" w:rsidRDefault="00337FFB" w:rsidP="00A566F5">
            <w:pPr>
              <w:jc w:val="center"/>
            </w:pPr>
            <w:r>
              <w:t>% 4,3</w:t>
            </w:r>
          </w:p>
        </w:tc>
        <w:tc>
          <w:tcPr>
            <w:tcW w:w="2583" w:type="dxa"/>
            <w:shd w:val="clear" w:color="auto" w:fill="95B3D7" w:themeFill="accent1" w:themeFillTint="99"/>
          </w:tcPr>
          <w:p w:rsidR="00337FFB" w:rsidRDefault="00337FFB" w:rsidP="00A566F5">
            <w:pPr>
              <w:jc w:val="center"/>
            </w:pPr>
            <w:r>
              <w:t>% 2,2</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BELÇİKA</w:t>
            </w:r>
          </w:p>
        </w:tc>
        <w:tc>
          <w:tcPr>
            <w:tcW w:w="2058" w:type="dxa"/>
            <w:shd w:val="clear" w:color="auto" w:fill="95B3D7" w:themeFill="accent1" w:themeFillTint="99"/>
          </w:tcPr>
          <w:p w:rsidR="00337FFB" w:rsidRDefault="00337FFB" w:rsidP="00A566F5">
            <w:pPr>
              <w:jc w:val="center"/>
            </w:pPr>
            <w:r>
              <w:t>1 873 221</w:t>
            </w:r>
          </w:p>
        </w:tc>
        <w:tc>
          <w:tcPr>
            <w:tcW w:w="2268" w:type="dxa"/>
            <w:shd w:val="clear" w:color="auto" w:fill="95B3D7" w:themeFill="accent1" w:themeFillTint="99"/>
          </w:tcPr>
          <w:p w:rsidR="00337FFB" w:rsidRDefault="00337FFB" w:rsidP="00A566F5">
            <w:pPr>
              <w:jc w:val="center"/>
            </w:pPr>
            <w:r>
              <w:t>% 3,1</w:t>
            </w:r>
          </w:p>
        </w:tc>
        <w:tc>
          <w:tcPr>
            <w:tcW w:w="2583" w:type="dxa"/>
            <w:shd w:val="clear" w:color="auto" w:fill="95B3D7" w:themeFill="accent1" w:themeFillTint="99"/>
          </w:tcPr>
          <w:p w:rsidR="00337FFB" w:rsidRDefault="00337FFB" w:rsidP="00A566F5">
            <w:pPr>
              <w:jc w:val="center"/>
            </w:pPr>
            <w:r>
              <w:t>% 10,1</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PORTEKİZ</w:t>
            </w:r>
          </w:p>
        </w:tc>
        <w:tc>
          <w:tcPr>
            <w:tcW w:w="2058" w:type="dxa"/>
            <w:shd w:val="clear" w:color="auto" w:fill="95B3D7" w:themeFill="accent1" w:themeFillTint="99"/>
          </w:tcPr>
          <w:p w:rsidR="00337FFB" w:rsidRDefault="00337FFB" w:rsidP="00A566F5">
            <w:pPr>
              <w:jc w:val="center"/>
            </w:pPr>
            <w:r>
              <w:t>1 670 545</w:t>
            </w:r>
          </w:p>
        </w:tc>
        <w:tc>
          <w:tcPr>
            <w:tcW w:w="2268" w:type="dxa"/>
            <w:shd w:val="clear" w:color="auto" w:fill="95B3D7" w:themeFill="accent1" w:themeFillTint="99"/>
          </w:tcPr>
          <w:p w:rsidR="00337FFB" w:rsidRDefault="00337FFB" w:rsidP="00A566F5">
            <w:pPr>
              <w:jc w:val="center"/>
            </w:pPr>
            <w:r>
              <w:t>% 2,8</w:t>
            </w:r>
          </w:p>
        </w:tc>
        <w:tc>
          <w:tcPr>
            <w:tcW w:w="2583" w:type="dxa"/>
            <w:shd w:val="clear" w:color="auto" w:fill="95B3D7" w:themeFill="accent1" w:themeFillTint="99"/>
          </w:tcPr>
          <w:p w:rsidR="00337FFB" w:rsidRDefault="00337FFB" w:rsidP="00A566F5">
            <w:pPr>
              <w:jc w:val="center"/>
            </w:pPr>
            <w:r>
              <w:t>% -8,5</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İSVİÇRE</w:t>
            </w:r>
          </w:p>
        </w:tc>
        <w:tc>
          <w:tcPr>
            <w:tcW w:w="2058" w:type="dxa"/>
            <w:shd w:val="clear" w:color="auto" w:fill="95B3D7" w:themeFill="accent1" w:themeFillTint="99"/>
          </w:tcPr>
          <w:p w:rsidR="00337FFB" w:rsidRDefault="00337FFB" w:rsidP="00A566F5">
            <w:pPr>
              <w:jc w:val="center"/>
            </w:pPr>
            <w:r>
              <w:t>1 487 256</w:t>
            </w:r>
          </w:p>
        </w:tc>
        <w:tc>
          <w:tcPr>
            <w:tcW w:w="2268" w:type="dxa"/>
            <w:shd w:val="clear" w:color="auto" w:fill="95B3D7" w:themeFill="accent1" w:themeFillTint="99"/>
          </w:tcPr>
          <w:p w:rsidR="00337FFB" w:rsidRDefault="00337FFB" w:rsidP="00A566F5">
            <w:pPr>
              <w:jc w:val="center"/>
            </w:pPr>
            <w:r>
              <w:t>% 2,5</w:t>
            </w:r>
          </w:p>
        </w:tc>
        <w:tc>
          <w:tcPr>
            <w:tcW w:w="2583" w:type="dxa"/>
            <w:shd w:val="clear" w:color="auto" w:fill="95B3D7" w:themeFill="accent1" w:themeFillTint="99"/>
          </w:tcPr>
          <w:p w:rsidR="00337FFB" w:rsidRDefault="00337FFB" w:rsidP="00A566F5">
            <w:pPr>
              <w:jc w:val="center"/>
            </w:pPr>
            <w:r>
              <w:t>% 3,0</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RUSYA</w:t>
            </w:r>
          </w:p>
        </w:tc>
        <w:tc>
          <w:tcPr>
            <w:tcW w:w="2058" w:type="dxa"/>
            <w:shd w:val="clear" w:color="auto" w:fill="95B3D7" w:themeFill="accent1" w:themeFillTint="99"/>
          </w:tcPr>
          <w:p w:rsidR="00337FFB" w:rsidRDefault="00337FFB" w:rsidP="00A566F5">
            <w:pPr>
              <w:jc w:val="center"/>
            </w:pPr>
            <w:r>
              <w:t>1 581 785</w:t>
            </w:r>
          </w:p>
        </w:tc>
        <w:tc>
          <w:tcPr>
            <w:tcW w:w="2268" w:type="dxa"/>
            <w:shd w:val="clear" w:color="auto" w:fill="95B3D7" w:themeFill="accent1" w:themeFillTint="99"/>
          </w:tcPr>
          <w:p w:rsidR="00337FFB" w:rsidRDefault="00337FFB" w:rsidP="00A566F5">
            <w:pPr>
              <w:jc w:val="center"/>
            </w:pPr>
            <w:r>
              <w:t>% 2,6</w:t>
            </w:r>
          </w:p>
        </w:tc>
        <w:tc>
          <w:tcPr>
            <w:tcW w:w="2583" w:type="dxa"/>
            <w:shd w:val="clear" w:color="auto" w:fill="95B3D7" w:themeFill="accent1" w:themeFillTint="99"/>
          </w:tcPr>
          <w:p w:rsidR="00337FFB" w:rsidRDefault="00337FFB" w:rsidP="00A566F5">
            <w:pPr>
              <w:jc w:val="center"/>
            </w:pPr>
            <w:r>
              <w:t>% 31,6</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İRLANDA</w:t>
            </w:r>
          </w:p>
        </w:tc>
        <w:tc>
          <w:tcPr>
            <w:tcW w:w="2058" w:type="dxa"/>
            <w:shd w:val="clear" w:color="auto" w:fill="95B3D7" w:themeFill="accent1" w:themeFillTint="99"/>
          </w:tcPr>
          <w:p w:rsidR="00337FFB" w:rsidRDefault="00337FFB" w:rsidP="00A566F5">
            <w:pPr>
              <w:jc w:val="center"/>
            </w:pPr>
            <w:r>
              <w:t>1 270 028</w:t>
            </w:r>
          </w:p>
        </w:tc>
        <w:tc>
          <w:tcPr>
            <w:tcW w:w="2268" w:type="dxa"/>
            <w:shd w:val="clear" w:color="auto" w:fill="95B3D7" w:themeFill="accent1" w:themeFillTint="99"/>
          </w:tcPr>
          <w:p w:rsidR="00337FFB" w:rsidRDefault="00337FFB" w:rsidP="00A566F5">
            <w:pPr>
              <w:jc w:val="center"/>
            </w:pPr>
            <w:r>
              <w:t>% 2,1</w:t>
            </w:r>
          </w:p>
        </w:tc>
        <w:tc>
          <w:tcPr>
            <w:tcW w:w="2583" w:type="dxa"/>
            <w:shd w:val="clear" w:color="auto" w:fill="95B3D7" w:themeFill="accent1" w:themeFillTint="99"/>
          </w:tcPr>
          <w:p w:rsidR="00337FFB" w:rsidRDefault="00337FFB" w:rsidP="00A566F5">
            <w:pPr>
              <w:jc w:val="center"/>
            </w:pPr>
            <w:r>
              <w:t>% 6,8</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AVRUPA (DİĞER)</w:t>
            </w:r>
          </w:p>
        </w:tc>
        <w:tc>
          <w:tcPr>
            <w:tcW w:w="2058" w:type="dxa"/>
            <w:shd w:val="clear" w:color="auto" w:fill="95B3D7" w:themeFill="accent1" w:themeFillTint="99"/>
          </w:tcPr>
          <w:p w:rsidR="00337FFB" w:rsidRDefault="00337FFB" w:rsidP="00A566F5">
            <w:pPr>
              <w:jc w:val="center"/>
            </w:pPr>
            <w:r>
              <w:t>2 931 072</w:t>
            </w:r>
          </w:p>
        </w:tc>
        <w:tc>
          <w:tcPr>
            <w:tcW w:w="2268" w:type="dxa"/>
            <w:shd w:val="clear" w:color="auto" w:fill="95B3D7" w:themeFill="accent1" w:themeFillTint="99"/>
          </w:tcPr>
          <w:p w:rsidR="00337FFB" w:rsidRDefault="00337FFB" w:rsidP="00A566F5">
            <w:pPr>
              <w:jc w:val="center"/>
            </w:pPr>
            <w:r>
              <w:t>% 4,8</w:t>
            </w:r>
          </w:p>
        </w:tc>
        <w:tc>
          <w:tcPr>
            <w:tcW w:w="2583" w:type="dxa"/>
            <w:shd w:val="clear" w:color="auto" w:fill="95B3D7" w:themeFill="accent1" w:themeFillTint="99"/>
          </w:tcPr>
          <w:p w:rsidR="00337FFB" w:rsidRDefault="00337FFB" w:rsidP="00A566F5">
            <w:pPr>
              <w:jc w:val="center"/>
            </w:pPr>
            <w:r>
              <w:t>% 6,2</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ABD</w:t>
            </w:r>
          </w:p>
        </w:tc>
        <w:tc>
          <w:tcPr>
            <w:tcW w:w="2058" w:type="dxa"/>
            <w:shd w:val="clear" w:color="auto" w:fill="95B3D7" w:themeFill="accent1" w:themeFillTint="99"/>
          </w:tcPr>
          <w:p w:rsidR="00337FFB" w:rsidRDefault="00337FFB" w:rsidP="00A566F5">
            <w:pPr>
              <w:jc w:val="center"/>
            </w:pPr>
            <w:r>
              <w:t>1 194 948</w:t>
            </w:r>
          </w:p>
        </w:tc>
        <w:tc>
          <w:tcPr>
            <w:tcW w:w="2268" w:type="dxa"/>
            <w:shd w:val="clear" w:color="auto" w:fill="95B3D7" w:themeFill="accent1" w:themeFillTint="99"/>
          </w:tcPr>
          <w:p w:rsidR="00337FFB" w:rsidRDefault="00337FFB" w:rsidP="00A566F5">
            <w:pPr>
              <w:jc w:val="center"/>
            </w:pPr>
            <w:r>
              <w:t>% 2,0</w:t>
            </w:r>
          </w:p>
        </w:tc>
        <w:tc>
          <w:tcPr>
            <w:tcW w:w="2583" w:type="dxa"/>
            <w:shd w:val="clear" w:color="auto" w:fill="95B3D7" w:themeFill="accent1" w:themeFillTint="99"/>
          </w:tcPr>
          <w:p w:rsidR="00337FFB" w:rsidRDefault="00337FFB" w:rsidP="00A566F5">
            <w:pPr>
              <w:jc w:val="center"/>
            </w:pPr>
            <w:r>
              <w:t>% -3,6</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AMERİKA (DİĞER)</w:t>
            </w:r>
          </w:p>
        </w:tc>
        <w:tc>
          <w:tcPr>
            <w:tcW w:w="2058" w:type="dxa"/>
            <w:shd w:val="clear" w:color="auto" w:fill="95B3D7" w:themeFill="accent1" w:themeFillTint="99"/>
          </w:tcPr>
          <w:p w:rsidR="00337FFB" w:rsidRDefault="00337FFB" w:rsidP="00A566F5">
            <w:pPr>
              <w:jc w:val="center"/>
            </w:pPr>
            <w:r>
              <w:t>1 878 226</w:t>
            </w:r>
          </w:p>
        </w:tc>
        <w:tc>
          <w:tcPr>
            <w:tcW w:w="2268" w:type="dxa"/>
            <w:shd w:val="clear" w:color="auto" w:fill="95B3D7" w:themeFill="accent1" w:themeFillTint="99"/>
          </w:tcPr>
          <w:p w:rsidR="00337FFB" w:rsidRDefault="00337FFB" w:rsidP="00A566F5">
            <w:pPr>
              <w:jc w:val="center"/>
            </w:pPr>
            <w:r>
              <w:t>% 3,1</w:t>
            </w:r>
          </w:p>
        </w:tc>
        <w:tc>
          <w:tcPr>
            <w:tcW w:w="2583" w:type="dxa"/>
            <w:shd w:val="clear" w:color="auto" w:fill="95B3D7" w:themeFill="accent1" w:themeFillTint="99"/>
          </w:tcPr>
          <w:p w:rsidR="00337FFB" w:rsidRDefault="00337FFB" w:rsidP="00A566F5">
            <w:pPr>
              <w:jc w:val="center"/>
            </w:pPr>
            <w:r>
              <w:t>% -0,3</w:t>
            </w:r>
          </w:p>
        </w:tc>
      </w:tr>
      <w:tr w:rsidR="00337FFB" w:rsidTr="00A566F5">
        <w:tc>
          <w:tcPr>
            <w:tcW w:w="2303" w:type="dxa"/>
            <w:shd w:val="clear" w:color="auto" w:fill="95B3D7" w:themeFill="accent1" w:themeFillTint="99"/>
          </w:tcPr>
          <w:p w:rsidR="00337FFB" w:rsidRPr="00921A63" w:rsidRDefault="00337FFB" w:rsidP="00A566F5">
            <w:pPr>
              <w:rPr>
                <w:b/>
              </w:rPr>
            </w:pPr>
            <w:r w:rsidRPr="00921A63">
              <w:rPr>
                <w:b/>
              </w:rPr>
              <w:t>DÜNYA (DİĞER)</w:t>
            </w:r>
          </w:p>
        </w:tc>
        <w:tc>
          <w:tcPr>
            <w:tcW w:w="2058" w:type="dxa"/>
            <w:shd w:val="clear" w:color="auto" w:fill="95B3D7" w:themeFill="accent1" w:themeFillTint="99"/>
          </w:tcPr>
          <w:p w:rsidR="00337FFB" w:rsidRDefault="00337FFB" w:rsidP="00A566F5">
            <w:pPr>
              <w:jc w:val="center"/>
            </w:pPr>
            <w:r>
              <w:t>2 323 286</w:t>
            </w:r>
          </w:p>
        </w:tc>
        <w:tc>
          <w:tcPr>
            <w:tcW w:w="2268" w:type="dxa"/>
            <w:shd w:val="clear" w:color="auto" w:fill="95B3D7" w:themeFill="accent1" w:themeFillTint="99"/>
          </w:tcPr>
          <w:p w:rsidR="00337FFB" w:rsidRDefault="00337FFB" w:rsidP="00A566F5">
            <w:pPr>
              <w:jc w:val="center"/>
            </w:pPr>
            <w:r>
              <w:t>% 3,8</w:t>
            </w:r>
          </w:p>
        </w:tc>
        <w:tc>
          <w:tcPr>
            <w:tcW w:w="2583" w:type="dxa"/>
            <w:shd w:val="clear" w:color="auto" w:fill="95B3D7" w:themeFill="accent1" w:themeFillTint="99"/>
          </w:tcPr>
          <w:p w:rsidR="00337FFB" w:rsidRDefault="00337FFB" w:rsidP="00A566F5">
            <w:pPr>
              <w:jc w:val="center"/>
            </w:pPr>
            <w:r>
              <w:t>% 10,7</w:t>
            </w:r>
          </w:p>
        </w:tc>
      </w:tr>
      <w:tr w:rsidR="00337FFB" w:rsidTr="00A566F5">
        <w:tc>
          <w:tcPr>
            <w:tcW w:w="2303" w:type="dxa"/>
            <w:shd w:val="clear" w:color="auto" w:fill="D99594" w:themeFill="accent2" w:themeFillTint="99"/>
          </w:tcPr>
          <w:p w:rsidR="00337FFB" w:rsidRPr="00921A63" w:rsidRDefault="00337FFB" w:rsidP="00A566F5">
            <w:pPr>
              <w:shd w:val="clear" w:color="auto" w:fill="D99594" w:themeFill="accent2" w:themeFillTint="99"/>
              <w:rPr>
                <w:b/>
              </w:rPr>
            </w:pPr>
            <w:r w:rsidRPr="00921A63">
              <w:rPr>
                <w:b/>
              </w:rPr>
              <w:t>TOPLAM:</w:t>
            </w:r>
          </w:p>
        </w:tc>
        <w:tc>
          <w:tcPr>
            <w:tcW w:w="2058" w:type="dxa"/>
            <w:shd w:val="clear" w:color="auto" w:fill="D99594" w:themeFill="accent2" w:themeFillTint="99"/>
          </w:tcPr>
          <w:p w:rsidR="00337FFB" w:rsidRDefault="00337FFB" w:rsidP="00A566F5">
            <w:pPr>
              <w:shd w:val="clear" w:color="auto" w:fill="D99594" w:themeFill="accent2" w:themeFillTint="99"/>
              <w:jc w:val="center"/>
            </w:pPr>
            <w:r>
              <w:t>60 661 073</w:t>
            </w:r>
          </w:p>
        </w:tc>
        <w:tc>
          <w:tcPr>
            <w:tcW w:w="2268" w:type="dxa"/>
            <w:shd w:val="clear" w:color="auto" w:fill="D99594" w:themeFill="accent2" w:themeFillTint="99"/>
          </w:tcPr>
          <w:p w:rsidR="00337FFB" w:rsidRDefault="00337FFB" w:rsidP="00A566F5">
            <w:pPr>
              <w:shd w:val="clear" w:color="auto" w:fill="D99594" w:themeFill="accent2" w:themeFillTint="99"/>
              <w:jc w:val="center"/>
            </w:pPr>
            <w:r>
              <w:t>% 100</w:t>
            </w:r>
          </w:p>
        </w:tc>
        <w:tc>
          <w:tcPr>
            <w:tcW w:w="2583" w:type="dxa"/>
            <w:shd w:val="clear" w:color="auto" w:fill="D99594" w:themeFill="accent2" w:themeFillTint="99"/>
          </w:tcPr>
          <w:p w:rsidR="00337FFB" w:rsidRDefault="00337FFB" w:rsidP="00A566F5">
            <w:pPr>
              <w:shd w:val="clear" w:color="auto" w:fill="D99594" w:themeFill="accent2" w:themeFillTint="99"/>
              <w:jc w:val="center"/>
            </w:pPr>
            <w:r>
              <w:t>% 5,6</w:t>
            </w:r>
          </w:p>
        </w:tc>
      </w:tr>
    </w:tbl>
    <w:p w:rsidR="00337FFB" w:rsidRDefault="004321B9" w:rsidP="00A4565A">
      <w:pPr>
        <w:jc w:val="both"/>
      </w:pPr>
      <w:r>
        <w:t>* Kaynak: İspanya Turizm Araştırmaları Enstitüsü (IET)</w:t>
      </w:r>
    </w:p>
    <w:p w:rsidR="00652464" w:rsidRDefault="00652464" w:rsidP="00A4565A">
      <w:pPr>
        <w:jc w:val="both"/>
      </w:pPr>
    </w:p>
    <w:p w:rsidR="006A0B3F" w:rsidRDefault="006A0B3F" w:rsidP="00A4565A">
      <w:pPr>
        <w:jc w:val="both"/>
      </w:pPr>
    </w:p>
    <w:p w:rsidR="00337FFB" w:rsidRDefault="00337FFB" w:rsidP="00A4565A">
      <w:pPr>
        <w:jc w:val="both"/>
      </w:pPr>
      <w:r w:rsidRPr="00337FFB">
        <w:rPr>
          <w:b/>
        </w:rPr>
        <w:lastRenderedPageBreak/>
        <w:t>İSPANYA’YA GİDEN</w:t>
      </w:r>
      <w:r w:rsidR="00793BE5">
        <w:rPr>
          <w:b/>
        </w:rPr>
        <w:t xml:space="preserve"> TURİSTLERİN </w:t>
      </w:r>
      <w:r w:rsidRPr="00337FFB">
        <w:rPr>
          <w:b/>
        </w:rPr>
        <w:t>YARIDAN FAZLASI ÜÇ Ü</w:t>
      </w:r>
      <w:r>
        <w:rPr>
          <w:b/>
        </w:rPr>
        <w:t>LKEDEN</w:t>
      </w:r>
    </w:p>
    <w:p w:rsidR="002A31B5" w:rsidRDefault="00337FFB" w:rsidP="00A4565A">
      <w:pPr>
        <w:jc w:val="both"/>
      </w:pPr>
      <w:r>
        <w:t>2013 yılında İspanya’ya giden turistlerin yüzde 50’den fazlasını üç ülke</w:t>
      </w:r>
      <w:r w:rsidR="00793BE5">
        <w:t xml:space="preserve"> vatandaşları</w:t>
      </w:r>
      <w:r w:rsidR="006A0B3F">
        <w:t xml:space="preserve"> oluşturdu. Birleşik Krallık</w:t>
      </w:r>
      <w:r>
        <w:t xml:space="preserve">, </w:t>
      </w:r>
      <w:r w:rsidR="002A31B5">
        <w:t>Almanya ve Fransa’dan İspanya’ya giden turistler</w:t>
      </w:r>
      <w:r w:rsidR="00793BE5">
        <w:t>,</w:t>
      </w:r>
      <w:r w:rsidR="002A31B5">
        <w:t xml:space="preserve"> İspanya’nın toplam turizm potansiyelinin yüzde 55,5’ini oluşturdu.</w:t>
      </w:r>
    </w:p>
    <w:p w:rsidR="00AE5B8D" w:rsidRDefault="00337FFB" w:rsidP="00A4565A">
      <w:pPr>
        <w:jc w:val="both"/>
      </w:pPr>
      <w:r w:rsidRPr="00675E52">
        <w:rPr>
          <w:noProof/>
          <w:shd w:val="clear" w:color="auto" w:fill="000000" w:themeFill="text1"/>
          <w:lang w:eastAsia="tr-TR"/>
        </w:rPr>
        <w:drawing>
          <wp:inline distT="0" distB="0" distL="0" distR="0" wp14:anchorId="4796DDC2" wp14:editId="01C647AD">
            <wp:extent cx="5764696" cy="3753016"/>
            <wp:effectExtent l="0" t="0" r="26670" b="19050"/>
            <wp:docPr id="9" name="Grafi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321B9" w:rsidRDefault="004321B9" w:rsidP="00A4565A">
      <w:pPr>
        <w:jc w:val="both"/>
      </w:pPr>
      <w:r>
        <w:t>* Kaynak: İspanya Turizm Araştırmaları Enstitüsü (IET)</w:t>
      </w:r>
    </w:p>
    <w:p w:rsidR="00B12251" w:rsidRPr="00B12251" w:rsidRDefault="00B12251" w:rsidP="00324947">
      <w:pPr>
        <w:jc w:val="both"/>
        <w:rPr>
          <w:b/>
        </w:rPr>
      </w:pPr>
      <w:r w:rsidRPr="00B12251">
        <w:rPr>
          <w:b/>
        </w:rPr>
        <w:t>TURİZM GELİRİ İLE DİKKAT ÇEKİYOR</w:t>
      </w:r>
    </w:p>
    <w:p w:rsidR="005F299F" w:rsidRDefault="00A4565A" w:rsidP="00324947">
      <w:pPr>
        <w:jc w:val="both"/>
      </w:pPr>
      <w:r>
        <w:t>2013 yılında 60 milyon</w:t>
      </w:r>
      <w:r w:rsidR="00AD6F39">
        <w:t xml:space="preserve">u </w:t>
      </w:r>
      <w:r>
        <w:t>aşan sayıda turist ağırlayan İspanya’da turizm</w:t>
      </w:r>
      <w:r w:rsidR="00D83DBF">
        <w:t xml:space="preserve">den elde edilen gelir de </w:t>
      </w:r>
      <w:r w:rsidR="005F299F">
        <w:t>60 milyar dolar</w:t>
      </w:r>
      <w:r w:rsidR="002A31B5">
        <w:t xml:space="preserve">a yaklaştı. </w:t>
      </w:r>
      <w:r w:rsidR="005F299F">
        <w:t>Birleşmiş Milletler Dünya Turizm Örgütü (UNWTO) tarafından açıklanan verilere göre, İspanya’nın turizmden elde ettiği gelir</w:t>
      </w:r>
      <w:r w:rsidR="002A31B5">
        <w:t xml:space="preserve"> 2004 yılında 45,2 milyar dolar iken 2012 yılında </w:t>
      </w:r>
      <w:r w:rsidR="005F299F">
        <w:t>55,9 milyar dolar</w:t>
      </w:r>
      <w:r w:rsidR="002A31B5">
        <w:t>a yükseldi.</w:t>
      </w:r>
    </w:p>
    <w:p w:rsidR="005F299F" w:rsidRDefault="005F299F" w:rsidP="00324947">
      <w:pPr>
        <w:jc w:val="both"/>
      </w:pPr>
      <w:r>
        <w:rPr>
          <w:noProof/>
          <w:lang w:eastAsia="tr-TR"/>
        </w:rPr>
        <w:drawing>
          <wp:inline distT="0" distB="0" distL="0" distR="0">
            <wp:extent cx="5581290" cy="2484407"/>
            <wp:effectExtent l="76200" t="38100" r="95885" b="106680"/>
            <wp:docPr id="17" name="Diy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2A31B5" w:rsidRDefault="00942660" w:rsidP="00324947">
      <w:pPr>
        <w:jc w:val="both"/>
      </w:pPr>
      <w:r>
        <w:t>* Kaynak: UNWTO</w:t>
      </w:r>
    </w:p>
    <w:p w:rsidR="005F299F" w:rsidRPr="00336EE9" w:rsidRDefault="00A6285B" w:rsidP="00324947">
      <w:pPr>
        <w:jc w:val="both"/>
        <w:rPr>
          <w:b/>
        </w:rPr>
      </w:pPr>
      <w:r w:rsidRPr="00336EE9">
        <w:rPr>
          <w:b/>
        </w:rPr>
        <w:lastRenderedPageBreak/>
        <w:t>KRİZ İSPANYA’DAN YURTDIŞINA ÇIKIŞLARI ETKİLEDİ</w:t>
      </w:r>
    </w:p>
    <w:p w:rsidR="00C17601" w:rsidRDefault="00C17601" w:rsidP="00C17601">
      <w:pPr>
        <w:jc w:val="both"/>
      </w:pPr>
      <w:r>
        <w:t xml:space="preserve">Avro bölgesinin en büyük dördüncü ekonomisine sahip </w:t>
      </w:r>
      <w:r w:rsidR="008251A8">
        <w:t>ülkesi</w:t>
      </w:r>
      <w:r>
        <w:t xml:space="preserve"> </w:t>
      </w:r>
      <w:r w:rsidR="008251A8">
        <w:t xml:space="preserve">olan </w:t>
      </w:r>
      <w:r>
        <w:t>İspanya, 2008 yılında başlayan küresel ekonomik krizin etkilerini yakından hisse</w:t>
      </w:r>
      <w:r w:rsidR="008251A8">
        <w:t xml:space="preserve">tti. </w:t>
      </w:r>
      <w:r>
        <w:t>1993 yılından itibaren devamlı büyüyen İspanya ekonomisi 15 yıllık başarılı performansın ardından 2008 yılının üçüncü çeyreğinde</w:t>
      </w:r>
      <w:r w:rsidR="002F3A99">
        <w:t>n itibaren</w:t>
      </w:r>
      <w:r>
        <w:t xml:space="preserve"> </w:t>
      </w:r>
      <w:proofErr w:type="gramStart"/>
      <w:r>
        <w:t>resesyonla</w:t>
      </w:r>
      <w:proofErr w:type="gramEnd"/>
      <w:r>
        <w:t xml:space="preserve"> tanıştı. 2010 yılında yüzde 0,8, 2011</w:t>
      </w:r>
      <w:r w:rsidR="002F3A99">
        <w:t xml:space="preserve">’de </w:t>
      </w:r>
      <w:r>
        <w:t>ise yüzde 0,3’lük büyüme yakalayan İspanya ekonomisi</w:t>
      </w:r>
      <w:r w:rsidR="002F3A99">
        <w:t>,</w:t>
      </w:r>
      <w:r>
        <w:t xml:space="preserve"> 2011 yılı üçüncü çeyreğinden itibaren 7 çeyrek arka arkaya küçüldü. Bu süreçte işsizlik oranı yüzde 27’lere kadar çıkarken bu durum özellikle İspanyolların turistik amaçlı seyahatlerinde de ciddi düşüşe neden oldu.</w:t>
      </w:r>
    </w:p>
    <w:p w:rsidR="00296487" w:rsidRPr="00296487" w:rsidRDefault="00296487" w:rsidP="00C17601">
      <w:pPr>
        <w:jc w:val="both"/>
        <w:rPr>
          <w:b/>
        </w:rPr>
      </w:pPr>
      <w:r w:rsidRPr="00296487">
        <w:rPr>
          <w:b/>
        </w:rPr>
        <w:t xml:space="preserve">SEYAHATE ÇIKAN İSPANYOLLARIN SAYISI </w:t>
      </w:r>
      <w:r w:rsidR="00CD77C4">
        <w:rPr>
          <w:b/>
        </w:rPr>
        <w:t>DÜŞÜYOR</w:t>
      </w:r>
    </w:p>
    <w:p w:rsidR="00C17601" w:rsidRDefault="00C17601" w:rsidP="00C17601">
      <w:pPr>
        <w:jc w:val="both"/>
      </w:pPr>
      <w:r>
        <w:t xml:space="preserve">İspanya Ulusal İstatistik Enstitüsü tarafından açıklanan verilere göre İspanya vatandaşları 2012 yılında 158 milyon seyahat gerçekleştirdiler. Bu seyahatlerin </w:t>
      </w:r>
      <w:r w:rsidR="004321B9">
        <w:t xml:space="preserve">yalnızca </w:t>
      </w:r>
      <w:r>
        <w:t>12 milyonu yurt</w:t>
      </w:r>
      <w:r w:rsidR="004321B9">
        <w:t>dışına yönelik oldu.</w:t>
      </w:r>
      <w:r w:rsidR="00AD6F39">
        <w:t xml:space="preserve"> Krizin etkilerinin hissedilmeye devam ettiği 2013 yılında ise </w:t>
      </w:r>
      <w:r w:rsidR="006A0B3F">
        <w:t xml:space="preserve">İspanya vatandaşlarının gerçekleştirdikleri </w:t>
      </w:r>
      <w:r w:rsidR="00AD6F39">
        <w:t>toplam seyahat sayısı</w:t>
      </w:r>
      <w:r w:rsidR="006A0B3F">
        <w:t xml:space="preserve">nda </w:t>
      </w:r>
      <w:r w:rsidR="00296487">
        <w:t>yüzde 2,3 düş</w:t>
      </w:r>
      <w:r w:rsidR="006A0B3F">
        <w:t xml:space="preserve">üş meydana geldi. </w:t>
      </w:r>
      <w:r w:rsidR="00296487">
        <w:t xml:space="preserve">İspanya Turizm Enstitüsü tarafından gerçekleştirilen ve İspanya vatandaşlarının seyahatlerine ilişkin araştırmaları kapsayan </w:t>
      </w:r>
      <w:proofErr w:type="spellStart"/>
      <w:r w:rsidR="00296487">
        <w:t>Familitur</w:t>
      </w:r>
      <w:proofErr w:type="spellEnd"/>
      <w:r w:rsidR="00296487">
        <w:t xml:space="preserve"> araştırmasına göre 2013 yılında ülke vatandaşlarının gerçekleştirdikleri seyahatler</w:t>
      </w:r>
      <w:r w:rsidR="002F3A99">
        <w:t>in sayısı</w:t>
      </w:r>
      <w:r w:rsidR="00296487">
        <w:t xml:space="preserve"> %2,3’lük </w:t>
      </w:r>
      <w:r w:rsidR="002F3A99">
        <w:t xml:space="preserve">gerileme </w:t>
      </w:r>
      <w:r w:rsidR="00296487">
        <w:t xml:space="preserve">ile 155 milyona </w:t>
      </w:r>
      <w:r w:rsidR="002F3A99">
        <w:t>düştü</w:t>
      </w:r>
      <w:r w:rsidR="006A0B3F">
        <w:t xml:space="preserve">. </w:t>
      </w:r>
    </w:p>
    <w:tbl>
      <w:tblPr>
        <w:tblStyle w:val="TabloKlavuzu"/>
        <w:tblW w:w="0" w:type="auto"/>
        <w:tblLook w:val="04A0" w:firstRow="1" w:lastRow="0" w:firstColumn="1" w:lastColumn="0" w:noHBand="0" w:noVBand="1"/>
      </w:tblPr>
      <w:tblGrid>
        <w:gridCol w:w="4055"/>
        <w:gridCol w:w="5157"/>
      </w:tblGrid>
      <w:tr w:rsidR="00FA595D" w:rsidTr="00A566F5">
        <w:tc>
          <w:tcPr>
            <w:tcW w:w="9212" w:type="dxa"/>
            <w:gridSpan w:val="2"/>
            <w:shd w:val="clear" w:color="auto" w:fill="D9D9D9" w:themeFill="background1" w:themeFillShade="D9"/>
          </w:tcPr>
          <w:p w:rsidR="00FA595D" w:rsidRPr="00FA595D" w:rsidRDefault="00FA595D" w:rsidP="00A566F5">
            <w:pPr>
              <w:jc w:val="center"/>
              <w:rPr>
                <w:b/>
              </w:rPr>
            </w:pPr>
            <w:r w:rsidRPr="00FA595D">
              <w:rPr>
                <w:b/>
              </w:rPr>
              <w:t xml:space="preserve">İSPANYOL </w:t>
            </w:r>
            <w:proofErr w:type="gramStart"/>
            <w:r w:rsidRPr="00FA595D">
              <w:rPr>
                <w:b/>
              </w:rPr>
              <w:t>TURİSTLERİN  SEYAHAT</w:t>
            </w:r>
            <w:proofErr w:type="gramEnd"/>
            <w:r w:rsidRPr="00FA595D">
              <w:rPr>
                <w:b/>
              </w:rPr>
              <w:t xml:space="preserve"> TERCİHLERİ</w:t>
            </w:r>
            <w:r>
              <w:rPr>
                <w:b/>
              </w:rPr>
              <w:t xml:space="preserve"> (2012 YILI)</w:t>
            </w:r>
          </w:p>
        </w:tc>
      </w:tr>
      <w:tr w:rsidR="00FA595D" w:rsidTr="00A566F5">
        <w:tc>
          <w:tcPr>
            <w:tcW w:w="4055" w:type="dxa"/>
            <w:shd w:val="clear" w:color="auto" w:fill="C2D69B" w:themeFill="accent3" w:themeFillTint="99"/>
          </w:tcPr>
          <w:p w:rsidR="00FA595D" w:rsidRPr="00FA595D" w:rsidRDefault="00FA595D" w:rsidP="00A566F5">
            <w:pPr>
              <w:jc w:val="both"/>
              <w:rPr>
                <w:b/>
              </w:rPr>
            </w:pPr>
            <w:r w:rsidRPr="00FA595D">
              <w:rPr>
                <w:b/>
              </w:rPr>
              <w:t>İç turizm</w:t>
            </w:r>
          </w:p>
        </w:tc>
        <w:tc>
          <w:tcPr>
            <w:tcW w:w="5157" w:type="dxa"/>
            <w:shd w:val="clear" w:color="auto" w:fill="C2D69B" w:themeFill="accent3" w:themeFillTint="99"/>
          </w:tcPr>
          <w:p w:rsidR="00FA595D" w:rsidRDefault="00FA595D" w:rsidP="00A566F5">
            <w:pPr>
              <w:jc w:val="both"/>
            </w:pPr>
            <w:r>
              <w:t>146 554 158</w:t>
            </w:r>
          </w:p>
        </w:tc>
      </w:tr>
      <w:tr w:rsidR="00FA595D" w:rsidTr="00A566F5">
        <w:tc>
          <w:tcPr>
            <w:tcW w:w="4055" w:type="dxa"/>
            <w:shd w:val="clear" w:color="auto" w:fill="C2D69B" w:themeFill="accent3" w:themeFillTint="99"/>
          </w:tcPr>
          <w:p w:rsidR="00FA595D" w:rsidRPr="00FA595D" w:rsidRDefault="00FA595D" w:rsidP="00A566F5">
            <w:pPr>
              <w:jc w:val="both"/>
              <w:rPr>
                <w:b/>
              </w:rPr>
            </w:pPr>
            <w:r w:rsidRPr="00FA595D">
              <w:rPr>
                <w:b/>
              </w:rPr>
              <w:t>Dış turizm</w:t>
            </w:r>
          </w:p>
        </w:tc>
        <w:tc>
          <w:tcPr>
            <w:tcW w:w="5157" w:type="dxa"/>
            <w:shd w:val="clear" w:color="auto" w:fill="C2D69B" w:themeFill="accent3" w:themeFillTint="99"/>
          </w:tcPr>
          <w:p w:rsidR="00FA595D" w:rsidRDefault="00FA595D" w:rsidP="00A566F5">
            <w:pPr>
              <w:jc w:val="both"/>
            </w:pPr>
            <w:r>
              <w:t xml:space="preserve">  12 185 156</w:t>
            </w:r>
          </w:p>
        </w:tc>
      </w:tr>
      <w:tr w:rsidR="00FA595D" w:rsidTr="00A566F5">
        <w:tc>
          <w:tcPr>
            <w:tcW w:w="4055" w:type="dxa"/>
            <w:shd w:val="clear" w:color="auto" w:fill="95B3D7" w:themeFill="accent1" w:themeFillTint="99"/>
          </w:tcPr>
          <w:p w:rsidR="00FA595D" w:rsidRPr="00FA595D" w:rsidRDefault="00FA595D" w:rsidP="00A566F5">
            <w:pPr>
              <w:jc w:val="both"/>
              <w:rPr>
                <w:b/>
              </w:rPr>
            </w:pPr>
            <w:r w:rsidRPr="00FA595D">
              <w:rPr>
                <w:b/>
              </w:rPr>
              <w:t>Toplam seyahat sayısı</w:t>
            </w:r>
          </w:p>
        </w:tc>
        <w:tc>
          <w:tcPr>
            <w:tcW w:w="5157" w:type="dxa"/>
            <w:shd w:val="clear" w:color="auto" w:fill="95B3D7" w:themeFill="accent1" w:themeFillTint="99"/>
          </w:tcPr>
          <w:p w:rsidR="00FA595D" w:rsidRDefault="00FA595D" w:rsidP="00A566F5">
            <w:pPr>
              <w:jc w:val="both"/>
            </w:pPr>
            <w:r>
              <w:t>158 739 314</w:t>
            </w:r>
          </w:p>
        </w:tc>
      </w:tr>
    </w:tbl>
    <w:p w:rsidR="00FA595D" w:rsidRDefault="00C03904" w:rsidP="00C17601">
      <w:pPr>
        <w:jc w:val="both"/>
        <w:rPr>
          <w:b/>
        </w:rPr>
      </w:pPr>
      <w:r>
        <w:rPr>
          <w:b/>
        </w:rPr>
        <w:t xml:space="preserve">* </w:t>
      </w:r>
      <w:r w:rsidRPr="00C03904">
        <w:t>Kaynak:</w:t>
      </w:r>
      <w:r>
        <w:rPr>
          <w:b/>
        </w:rPr>
        <w:t xml:space="preserve"> </w:t>
      </w:r>
      <w:r>
        <w:t>IET</w:t>
      </w:r>
    </w:p>
    <w:p w:rsidR="00CD77C4" w:rsidRPr="00CD77C4" w:rsidRDefault="00CD77C4" w:rsidP="00C17601">
      <w:pPr>
        <w:jc w:val="both"/>
        <w:rPr>
          <w:b/>
        </w:rPr>
      </w:pPr>
      <w:r w:rsidRPr="00CD77C4">
        <w:rPr>
          <w:b/>
        </w:rPr>
        <w:t>İSPANYOLLAR YURTDIŞI TATİLİNE EN ÇOK YAZ SEZONUNDA ÇIKIYOR</w:t>
      </w:r>
    </w:p>
    <w:p w:rsidR="006A0B3F" w:rsidRDefault="00CD77C4" w:rsidP="00C17601">
      <w:pPr>
        <w:jc w:val="both"/>
      </w:pPr>
      <w:r>
        <w:t>İspanya Turizm Araştırmaları Enstitüsü tarafından yapılan araştırma</w:t>
      </w:r>
      <w:r w:rsidR="002F3A99">
        <w:t>,</w:t>
      </w:r>
      <w:r>
        <w:t xml:space="preserve"> İspanyolların tatil alışkanlıklarını da ortaya koyuyor. 2012 yılına ilişkin olarak yayınlanan verilere göre</w:t>
      </w:r>
      <w:r w:rsidR="002F3A99">
        <w:t>;</w:t>
      </w:r>
      <w:r>
        <w:t xml:space="preserve"> İspanya vatandaşları</w:t>
      </w:r>
      <w:r w:rsidR="00FA595D">
        <w:t xml:space="preserve">nın yurtdışı tatili için tercih ettikleri dönem ağırlıklı olarak yaz sezonu olurken </w:t>
      </w:r>
      <w:proofErr w:type="spellStart"/>
      <w:r w:rsidR="00FA595D">
        <w:t>haftason</w:t>
      </w:r>
      <w:r w:rsidR="006A0B3F">
        <w:t>ları</w:t>
      </w:r>
      <w:proofErr w:type="spellEnd"/>
      <w:r w:rsidR="00FA595D">
        <w:t xml:space="preserve"> </w:t>
      </w:r>
      <w:r w:rsidR="006A0B3F">
        <w:t xml:space="preserve">da İspanyolların tatil tercihinde öne çıkan zaman dilimi olarak dikkat çekiyor. </w:t>
      </w:r>
    </w:p>
    <w:p w:rsidR="009321EB" w:rsidRDefault="009321EB" w:rsidP="00C17601">
      <w:pPr>
        <w:jc w:val="both"/>
      </w:pPr>
      <w:r>
        <w:rPr>
          <w:noProof/>
          <w:lang w:eastAsia="tr-TR"/>
        </w:rPr>
        <w:drawing>
          <wp:inline distT="0" distB="0" distL="0" distR="0">
            <wp:extent cx="5486400" cy="3200400"/>
            <wp:effectExtent l="0" t="0" r="19050" b="19050"/>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1662A" w:rsidRDefault="0091662A" w:rsidP="0091662A">
      <w:pPr>
        <w:jc w:val="both"/>
      </w:pPr>
      <w:r>
        <w:rPr>
          <w:b/>
        </w:rPr>
        <w:t xml:space="preserve">* </w:t>
      </w:r>
      <w:r w:rsidRPr="00C03904">
        <w:t>Kaynak:</w:t>
      </w:r>
      <w:r>
        <w:rPr>
          <w:b/>
        </w:rPr>
        <w:t xml:space="preserve"> </w:t>
      </w:r>
      <w:r>
        <w:t>IET</w:t>
      </w:r>
    </w:p>
    <w:p w:rsidR="00652464" w:rsidRDefault="00652464" w:rsidP="0091662A">
      <w:pPr>
        <w:jc w:val="both"/>
        <w:rPr>
          <w:b/>
        </w:rPr>
      </w:pPr>
    </w:p>
    <w:p w:rsidR="005F299F" w:rsidRPr="001B2A1F" w:rsidRDefault="00B12251" w:rsidP="00324947">
      <w:pPr>
        <w:jc w:val="both"/>
        <w:rPr>
          <w:b/>
        </w:rPr>
      </w:pPr>
      <w:r w:rsidRPr="001B2A1F">
        <w:rPr>
          <w:b/>
        </w:rPr>
        <w:t>TÜRKİYE İSPANYA PAZARINDA</w:t>
      </w:r>
      <w:r w:rsidR="00437E48">
        <w:rPr>
          <w:b/>
        </w:rPr>
        <w:t xml:space="preserve"> 2013’TE</w:t>
      </w:r>
      <w:r w:rsidR="001B2A1F" w:rsidRPr="001B2A1F">
        <w:rPr>
          <w:b/>
        </w:rPr>
        <w:t xml:space="preserve"> </w:t>
      </w:r>
      <w:r w:rsidR="00296487">
        <w:rPr>
          <w:b/>
        </w:rPr>
        <w:t>%4,41’LİK ARTIŞ KAYDETTİ</w:t>
      </w:r>
    </w:p>
    <w:p w:rsidR="000F2484" w:rsidRDefault="003D0F91" w:rsidP="003D0F91">
      <w:pPr>
        <w:pStyle w:val="Default"/>
        <w:jc w:val="both"/>
        <w:rPr>
          <w:sz w:val="22"/>
          <w:szCs w:val="22"/>
        </w:rPr>
      </w:pPr>
      <w:r>
        <w:rPr>
          <w:sz w:val="22"/>
          <w:szCs w:val="22"/>
        </w:rPr>
        <w:t>İspanya’dan ülkemize gelen yabancı ziyaretçi sayısı 2001 yılında 100 bin s</w:t>
      </w:r>
      <w:r w:rsidR="000F2484">
        <w:rPr>
          <w:sz w:val="22"/>
          <w:szCs w:val="22"/>
        </w:rPr>
        <w:t xml:space="preserve">ınırını </w:t>
      </w:r>
      <w:r w:rsidR="006A0B3F">
        <w:rPr>
          <w:sz w:val="22"/>
          <w:szCs w:val="22"/>
        </w:rPr>
        <w:t xml:space="preserve">geçerken </w:t>
      </w:r>
      <w:r>
        <w:rPr>
          <w:sz w:val="22"/>
          <w:szCs w:val="22"/>
        </w:rPr>
        <w:t>2005 yılı</w:t>
      </w:r>
      <w:r w:rsidR="000F2484">
        <w:rPr>
          <w:sz w:val="22"/>
          <w:szCs w:val="22"/>
        </w:rPr>
        <w:t xml:space="preserve">ndan </w:t>
      </w:r>
      <w:r>
        <w:rPr>
          <w:sz w:val="22"/>
          <w:szCs w:val="22"/>
        </w:rPr>
        <w:t>itibar</w:t>
      </w:r>
      <w:r w:rsidR="000F2484">
        <w:rPr>
          <w:sz w:val="22"/>
          <w:szCs w:val="22"/>
        </w:rPr>
        <w:t xml:space="preserve">en </w:t>
      </w:r>
      <w:r w:rsidR="006A0B3F">
        <w:rPr>
          <w:sz w:val="22"/>
          <w:szCs w:val="22"/>
        </w:rPr>
        <w:t xml:space="preserve">artış hızı ciddi bir ivme kazandı. </w:t>
      </w:r>
      <w:r w:rsidR="000F2484">
        <w:rPr>
          <w:sz w:val="22"/>
          <w:szCs w:val="22"/>
        </w:rPr>
        <w:t xml:space="preserve">2009 yılında </w:t>
      </w:r>
      <w:r w:rsidR="006A0B3F">
        <w:rPr>
          <w:sz w:val="22"/>
          <w:szCs w:val="22"/>
        </w:rPr>
        <w:t xml:space="preserve">İspanyol misafir sayımız rekor seviyesi olan </w:t>
      </w:r>
      <w:r>
        <w:rPr>
          <w:sz w:val="22"/>
          <w:szCs w:val="22"/>
        </w:rPr>
        <w:t>376 bin</w:t>
      </w:r>
      <w:r w:rsidR="006A0B3F">
        <w:rPr>
          <w:sz w:val="22"/>
          <w:szCs w:val="22"/>
        </w:rPr>
        <w:t xml:space="preserve"> sayısına yüksel</w:t>
      </w:r>
      <w:r w:rsidR="00724024">
        <w:rPr>
          <w:sz w:val="22"/>
          <w:szCs w:val="22"/>
        </w:rPr>
        <w:t>di ancak k</w:t>
      </w:r>
      <w:r w:rsidR="000F2484">
        <w:rPr>
          <w:sz w:val="22"/>
          <w:szCs w:val="22"/>
        </w:rPr>
        <w:t>üresel ekonomik krizin etkisini hissettirmesi ile birlikte bu sayı gerilemeye başladı. Art arda üç yıl düşen İspanyol turist sayısı</w:t>
      </w:r>
      <w:r w:rsidR="00B759BE">
        <w:rPr>
          <w:sz w:val="22"/>
          <w:szCs w:val="22"/>
        </w:rPr>
        <w:t>nda</w:t>
      </w:r>
      <w:r w:rsidR="000F2484">
        <w:rPr>
          <w:sz w:val="22"/>
          <w:szCs w:val="22"/>
        </w:rPr>
        <w:t xml:space="preserve"> 2013 yılında yüzde 4.41’lik</w:t>
      </w:r>
      <w:r w:rsidR="00B759BE">
        <w:rPr>
          <w:sz w:val="22"/>
          <w:szCs w:val="22"/>
        </w:rPr>
        <w:t xml:space="preserve"> bir toparlanma kaydedildi. Kültür ve Turizm Bakanlığı tarafından açıklanan bu verilere göre</w:t>
      </w:r>
      <w:r w:rsidR="006A0B3F">
        <w:rPr>
          <w:sz w:val="22"/>
          <w:szCs w:val="22"/>
        </w:rPr>
        <w:t>,</w:t>
      </w:r>
      <w:r w:rsidR="00B759BE">
        <w:rPr>
          <w:sz w:val="22"/>
          <w:szCs w:val="22"/>
        </w:rPr>
        <w:t xml:space="preserve"> İspanyol turistler Türkiye’ye gelen toplam turistler içinde yüzde 0,89’luk paya sahip bulunuyor.</w:t>
      </w:r>
    </w:p>
    <w:p w:rsidR="00296487" w:rsidRDefault="00296487" w:rsidP="003D0F91">
      <w:pPr>
        <w:pStyle w:val="Default"/>
        <w:jc w:val="both"/>
        <w:rPr>
          <w:sz w:val="22"/>
          <w:szCs w:val="22"/>
        </w:rPr>
      </w:pPr>
    </w:p>
    <w:p w:rsidR="00B26955" w:rsidRDefault="00437E48" w:rsidP="003D0F91">
      <w:pPr>
        <w:pStyle w:val="Default"/>
        <w:jc w:val="both"/>
        <w:rPr>
          <w:sz w:val="22"/>
          <w:szCs w:val="22"/>
        </w:rPr>
      </w:pPr>
      <w:r>
        <w:rPr>
          <w:noProof/>
          <w:sz w:val="22"/>
          <w:szCs w:val="22"/>
          <w:lang w:eastAsia="tr-TR"/>
        </w:rPr>
        <w:drawing>
          <wp:inline distT="0" distB="0" distL="0" distR="0" wp14:anchorId="47BB50E3" wp14:editId="781AF4D2">
            <wp:extent cx="5486400" cy="2935705"/>
            <wp:effectExtent l="38100" t="38100" r="190500" b="150495"/>
            <wp:docPr id="11" name="Grafi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96487" w:rsidRDefault="00296487" w:rsidP="003D0F91">
      <w:pPr>
        <w:pStyle w:val="Default"/>
        <w:jc w:val="both"/>
        <w:rPr>
          <w:sz w:val="22"/>
          <w:szCs w:val="22"/>
        </w:rPr>
      </w:pPr>
    </w:p>
    <w:p w:rsidR="00B26955" w:rsidRDefault="00B26955" w:rsidP="003D0F91">
      <w:pPr>
        <w:pStyle w:val="Default"/>
        <w:jc w:val="both"/>
        <w:rPr>
          <w:sz w:val="22"/>
          <w:szCs w:val="22"/>
        </w:rPr>
      </w:pPr>
      <w:r>
        <w:rPr>
          <w:sz w:val="22"/>
          <w:szCs w:val="22"/>
        </w:rPr>
        <w:t>* Kaynak: T.C. Kültür ve Turizm Bakanlığı</w:t>
      </w:r>
    </w:p>
    <w:p w:rsidR="00296487" w:rsidRDefault="00296487" w:rsidP="003D0F91">
      <w:pPr>
        <w:pStyle w:val="Default"/>
        <w:jc w:val="both"/>
        <w:rPr>
          <w:sz w:val="22"/>
          <w:szCs w:val="22"/>
        </w:rPr>
      </w:pPr>
    </w:p>
    <w:p w:rsidR="00B759BE" w:rsidRDefault="00AD6F39" w:rsidP="003D0F91">
      <w:pPr>
        <w:pStyle w:val="Default"/>
        <w:jc w:val="both"/>
        <w:rPr>
          <w:b/>
          <w:sz w:val="22"/>
          <w:szCs w:val="22"/>
        </w:rPr>
      </w:pPr>
      <w:r w:rsidRPr="00AD6F39">
        <w:rPr>
          <w:b/>
          <w:sz w:val="22"/>
          <w:szCs w:val="22"/>
        </w:rPr>
        <w:t>İSPANYOL TURİST TÜRKİYE’DE 1,1 MİLYON GECELEME GERÇEKLEŞTİRDİ</w:t>
      </w:r>
      <w:r w:rsidR="004905BF">
        <w:rPr>
          <w:b/>
          <w:sz w:val="22"/>
          <w:szCs w:val="22"/>
        </w:rPr>
        <w:t xml:space="preserve"> 700 $ HARCADI</w:t>
      </w:r>
    </w:p>
    <w:p w:rsidR="00AD6F39" w:rsidRDefault="00AD6F39" w:rsidP="003D0F91">
      <w:pPr>
        <w:pStyle w:val="Default"/>
        <w:jc w:val="both"/>
        <w:rPr>
          <w:b/>
          <w:sz w:val="22"/>
          <w:szCs w:val="22"/>
        </w:rPr>
      </w:pPr>
    </w:p>
    <w:p w:rsidR="00B26955" w:rsidRDefault="00B26955" w:rsidP="003D0F91">
      <w:pPr>
        <w:pStyle w:val="Default"/>
        <w:jc w:val="both"/>
        <w:rPr>
          <w:sz w:val="22"/>
          <w:szCs w:val="22"/>
        </w:rPr>
      </w:pPr>
      <w:r>
        <w:rPr>
          <w:sz w:val="22"/>
          <w:szCs w:val="22"/>
        </w:rPr>
        <w:t>Kültür ve Turizm Bakanlığı tarafından açıklanan verilere göre</w:t>
      </w:r>
      <w:r w:rsidR="002F3A99">
        <w:rPr>
          <w:sz w:val="22"/>
          <w:szCs w:val="22"/>
        </w:rPr>
        <w:t>,</w:t>
      </w:r>
      <w:r>
        <w:rPr>
          <w:sz w:val="22"/>
          <w:szCs w:val="22"/>
        </w:rPr>
        <w:t xml:space="preserve"> İspanyol turistler 2012 yılında Türkiye’de 1 milyon 142 bin geceleme gerçekleştirdi. Bu konaklamaların tamamına yakınını otel konaklamaları oluşturdu.</w:t>
      </w:r>
      <w:r w:rsidR="004905BF">
        <w:rPr>
          <w:sz w:val="22"/>
          <w:szCs w:val="22"/>
        </w:rPr>
        <w:t xml:space="preserve"> </w:t>
      </w:r>
      <w:r w:rsidR="00652464">
        <w:rPr>
          <w:sz w:val="22"/>
          <w:szCs w:val="22"/>
        </w:rPr>
        <w:t>İspanyol turistler</w:t>
      </w:r>
      <w:r w:rsidR="002F3A99">
        <w:rPr>
          <w:sz w:val="22"/>
          <w:szCs w:val="22"/>
        </w:rPr>
        <w:t>in</w:t>
      </w:r>
      <w:r w:rsidR="00652464">
        <w:rPr>
          <w:sz w:val="22"/>
          <w:szCs w:val="22"/>
        </w:rPr>
        <w:t xml:space="preserve"> </w:t>
      </w:r>
      <w:r w:rsidR="004905BF">
        <w:rPr>
          <w:sz w:val="22"/>
          <w:szCs w:val="22"/>
        </w:rPr>
        <w:t xml:space="preserve">Türkiye’de gerçekleştirdikleri </w:t>
      </w:r>
      <w:r w:rsidR="00652464">
        <w:rPr>
          <w:sz w:val="22"/>
          <w:szCs w:val="22"/>
        </w:rPr>
        <w:t xml:space="preserve">tatillerde kişi başı ortalama </w:t>
      </w:r>
      <w:r w:rsidR="00724024">
        <w:rPr>
          <w:sz w:val="22"/>
          <w:szCs w:val="22"/>
        </w:rPr>
        <w:t xml:space="preserve">harcamaları ise </w:t>
      </w:r>
      <w:r w:rsidR="004905BF">
        <w:rPr>
          <w:sz w:val="22"/>
          <w:szCs w:val="22"/>
        </w:rPr>
        <w:t xml:space="preserve">700 dolar </w:t>
      </w:r>
      <w:r w:rsidR="00724024">
        <w:rPr>
          <w:sz w:val="22"/>
          <w:szCs w:val="22"/>
        </w:rPr>
        <w:t>oldu</w:t>
      </w:r>
      <w:r w:rsidR="004905BF">
        <w:rPr>
          <w:sz w:val="22"/>
          <w:szCs w:val="22"/>
        </w:rPr>
        <w:t>.</w:t>
      </w:r>
    </w:p>
    <w:p w:rsidR="00652464" w:rsidRDefault="00652464" w:rsidP="003D0F91">
      <w:pPr>
        <w:pStyle w:val="Default"/>
        <w:jc w:val="both"/>
        <w:rPr>
          <w:sz w:val="22"/>
          <w:szCs w:val="22"/>
        </w:rPr>
      </w:pPr>
    </w:p>
    <w:p w:rsidR="000462FD" w:rsidRDefault="000462FD" w:rsidP="003D0F91">
      <w:pPr>
        <w:pStyle w:val="Default"/>
        <w:jc w:val="both"/>
        <w:rPr>
          <w:b/>
          <w:sz w:val="22"/>
          <w:szCs w:val="22"/>
        </w:rPr>
      </w:pPr>
      <w:r w:rsidRPr="000462FD">
        <w:rPr>
          <w:b/>
          <w:sz w:val="22"/>
          <w:szCs w:val="22"/>
        </w:rPr>
        <w:t xml:space="preserve">İSPANYA’YA GİDEN TÜRK TURİST </w:t>
      </w:r>
      <w:r w:rsidR="00F20E6D">
        <w:rPr>
          <w:b/>
          <w:sz w:val="22"/>
          <w:szCs w:val="22"/>
        </w:rPr>
        <w:t>SAYISI</w:t>
      </w:r>
    </w:p>
    <w:p w:rsidR="00F20E6D" w:rsidRDefault="00F20E6D" w:rsidP="003D0F91">
      <w:pPr>
        <w:pStyle w:val="Default"/>
        <w:jc w:val="both"/>
        <w:rPr>
          <w:sz w:val="22"/>
          <w:szCs w:val="22"/>
        </w:rPr>
      </w:pPr>
    </w:p>
    <w:p w:rsidR="00F20E6D" w:rsidRDefault="000462FD" w:rsidP="003D0F91">
      <w:pPr>
        <w:pStyle w:val="Default"/>
        <w:jc w:val="both"/>
        <w:rPr>
          <w:sz w:val="22"/>
          <w:szCs w:val="22"/>
        </w:rPr>
      </w:pPr>
      <w:r w:rsidRPr="000462FD">
        <w:rPr>
          <w:sz w:val="22"/>
          <w:szCs w:val="22"/>
        </w:rPr>
        <w:t>Türkiye İs</w:t>
      </w:r>
      <w:r>
        <w:rPr>
          <w:sz w:val="22"/>
          <w:szCs w:val="22"/>
        </w:rPr>
        <w:t xml:space="preserve">tatistik Kurumu verilerine göre İspanya’ya </w:t>
      </w:r>
      <w:r w:rsidRPr="000462FD">
        <w:rPr>
          <w:sz w:val="22"/>
          <w:szCs w:val="22"/>
        </w:rPr>
        <w:t>giden Türk vatandaşlarının sayısı</w:t>
      </w:r>
      <w:r>
        <w:rPr>
          <w:sz w:val="22"/>
          <w:szCs w:val="22"/>
        </w:rPr>
        <w:t xml:space="preserve"> </w:t>
      </w:r>
      <w:r w:rsidRPr="000462FD">
        <w:rPr>
          <w:sz w:val="22"/>
          <w:szCs w:val="22"/>
        </w:rPr>
        <w:t>201</w:t>
      </w:r>
      <w:r>
        <w:rPr>
          <w:sz w:val="22"/>
          <w:szCs w:val="22"/>
        </w:rPr>
        <w:t xml:space="preserve">0 </w:t>
      </w:r>
      <w:r w:rsidRPr="000462FD">
        <w:rPr>
          <w:sz w:val="22"/>
          <w:szCs w:val="22"/>
        </w:rPr>
        <w:t xml:space="preserve">yılında </w:t>
      </w:r>
      <w:r>
        <w:rPr>
          <w:sz w:val="22"/>
          <w:szCs w:val="22"/>
        </w:rPr>
        <w:t xml:space="preserve">24 bin iken 2011 yılında ciddi bir artışla </w:t>
      </w:r>
      <w:r w:rsidR="00F20E6D">
        <w:rPr>
          <w:sz w:val="22"/>
          <w:szCs w:val="22"/>
        </w:rPr>
        <w:t xml:space="preserve">40 </w:t>
      </w:r>
      <w:r>
        <w:rPr>
          <w:sz w:val="22"/>
          <w:szCs w:val="22"/>
        </w:rPr>
        <w:t>bin</w:t>
      </w:r>
      <w:r w:rsidR="00F20E6D">
        <w:rPr>
          <w:sz w:val="22"/>
          <w:szCs w:val="22"/>
        </w:rPr>
        <w:t xml:space="preserve"> sınırına dayandı. Ancak bu artış trendi 2012 yılında sürdürülemedi ve İspanya’ya giden Türk turist sayısı yüzde </w:t>
      </w:r>
      <w:r w:rsidR="008251A8">
        <w:rPr>
          <w:sz w:val="22"/>
          <w:szCs w:val="22"/>
        </w:rPr>
        <w:t>50</w:t>
      </w:r>
      <w:r w:rsidR="00F20E6D">
        <w:rPr>
          <w:sz w:val="22"/>
          <w:szCs w:val="22"/>
        </w:rPr>
        <w:t>’</w:t>
      </w:r>
      <w:r w:rsidR="008251A8">
        <w:rPr>
          <w:sz w:val="22"/>
          <w:szCs w:val="22"/>
        </w:rPr>
        <w:t xml:space="preserve">ye yakın </w:t>
      </w:r>
      <w:r w:rsidR="002F3A99">
        <w:rPr>
          <w:sz w:val="22"/>
          <w:szCs w:val="22"/>
        </w:rPr>
        <w:t xml:space="preserve">bir </w:t>
      </w:r>
      <w:r w:rsidR="008251A8">
        <w:rPr>
          <w:sz w:val="22"/>
          <w:szCs w:val="22"/>
        </w:rPr>
        <w:t xml:space="preserve">düşüşle </w:t>
      </w:r>
      <w:r w:rsidR="00F20E6D">
        <w:rPr>
          <w:sz w:val="22"/>
          <w:szCs w:val="22"/>
        </w:rPr>
        <w:t>21 bine geriledi.</w:t>
      </w:r>
    </w:p>
    <w:p w:rsidR="00F20E6D" w:rsidRDefault="00F20E6D" w:rsidP="003D0F91">
      <w:pPr>
        <w:pStyle w:val="Default"/>
        <w:jc w:val="both"/>
        <w:rPr>
          <w:sz w:val="22"/>
          <w:szCs w:val="22"/>
        </w:rPr>
      </w:pPr>
    </w:p>
    <w:tbl>
      <w:tblPr>
        <w:tblStyle w:val="TabloKlavuzu"/>
        <w:tblW w:w="0" w:type="auto"/>
        <w:tblInd w:w="447" w:type="dxa"/>
        <w:tblLook w:val="04A0" w:firstRow="1" w:lastRow="0" w:firstColumn="1" w:lastColumn="0" w:noHBand="0" w:noVBand="1"/>
      </w:tblPr>
      <w:tblGrid>
        <w:gridCol w:w="817"/>
        <w:gridCol w:w="4253"/>
      </w:tblGrid>
      <w:tr w:rsidR="00746F5F" w:rsidTr="009209CD">
        <w:tc>
          <w:tcPr>
            <w:tcW w:w="5070" w:type="dxa"/>
            <w:gridSpan w:val="2"/>
            <w:shd w:val="clear" w:color="auto" w:fill="C2D69B" w:themeFill="accent3" w:themeFillTint="99"/>
          </w:tcPr>
          <w:p w:rsidR="00746F5F" w:rsidRDefault="00746F5F" w:rsidP="00F20E6D">
            <w:pPr>
              <w:pStyle w:val="Default"/>
              <w:jc w:val="both"/>
              <w:rPr>
                <w:sz w:val="22"/>
                <w:szCs w:val="22"/>
              </w:rPr>
            </w:pPr>
            <w:r>
              <w:rPr>
                <w:sz w:val="22"/>
                <w:szCs w:val="22"/>
              </w:rPr>
              <w:t>İSPANYA’YA GİDEN TÜRK TURİST SAYISI</w:t>
            </w:r>
          </w:p>
        </w:tc>
      </w:tr>
      <w:tr w:rsidR="00746F5F" w:rsidTr="009209CD">
        <w:tc>
          <w:tcPr>
            <w:tcW w:w="817" w:type="dxa"/>
          </w:tcPr>
          <w:p w:rsidR="00746F5F" w:rsidRDefault="00746F5F" w:rsidP="00F20E6D">
            <w:pPr>
              <w:pStyle w:val="Default"/>
              <w:jc w:val="both"/>
              <w:rPr>
                <w:sz w:val="22"/>
                <w:szCs w:val="22"/>
              </w:rPr>
            </w:pPr>
            <w:r>
              <w:rPr>
                <w:sz w:val="22"/>
                <w:szCs w:val="22"/>
              </w:rPr>
              <w:t>2010</w:t>
            </w:r>
          </w:p>
        </w:tc>
        <w:tc>
          <w:tcPr>
            <w:tcW w:w="4253" w:type="dxa"/>
          </w:tcPr>
          <w:p w:rsidR="00746F5F" w:rsidRDefault="00746F5F" w:rsidP="00F20E6D">
            <w:pPr>
              <w:pStyle w:val="Default"/>
              <w:jc w:val="both"/>
              <w:rPr>
                <w:sz w:val="22"/>
                <w:szCs w:val="22"/>
              </w:rPr>
            </w:pPr>
            <w:r w:rsidRPr="00F20E6D">
              <w:rPr>
                <w:sz w:val="22"/>
                <w:szCs w:val="22"/>
              </w:rPr>
              <w:t>24 bin 871 kişi</w:t>
            </w:r>
          </w:p>
        </w:tc>
      </w:tr>
      <w:tr w:rsidR="00746F5F" w:rsidTr="009209CD">
        <w:tc>
          <w:tcPr>
            <w:tcW w:w="817" w:type="dxa"/>
          </w:tcPr>
          <w:p w:rsidR="00746F5F" w:rsidRDefault="00746F5F" w:rsidP="00F20E6D">
            <w:pPr>
              <w:pStyle w:val="Default"/>
              <w:jc w:val="both"/>
              <w:rPr>
                <w:sz w:val="22"/>
                <w:szCs w:val="22"/>
              </w:rPr>
            </w:pPr>
            <w:r>
              <w:rPr>
                <w:sz w:val="22"/>
                <w:szCs w:val="22"/>
              </w:rPr>
              <w:t>2011</w:t>
            </w:r>
          </w:p>
        </w:tc>
        <w:tc>
          <w:tcPr>
            <w:tcW w:w="4253" w:type="dxa"/>
          </w:tcPr>
          <w:p w:rsidR="00746F5F" w:rsidRDefault="00746F5F" w:rsidP="00F20E6D">
            <w:pPr>
              <w:pStyle w:val="Default"/>
              <w:jc w:val="both"/>
              <w:rPr>
                <w:sz w:val="22"/>
                <w:szCs w:val="22"/>
              </w:rPr>
            </w:pPr>
            <w:r w:rsidRPr="00F20E6D">
              <w:rPr>
                <w:sz w:val="22"/>
                <w:szCs w:val="22"/>
              </w:rPr>
              <w:t>39 bin 928 kişi</w:t>
            </w:r>
          </w:p>
        </w:tc>
      </w:tr>
      <w:tr w:rsidR="00746F5F" w:rsidTr="009209CD">
        <w:tc>
          <w:tcPr>
            <w:tcW w:w="817" w:type="dxa"/>
          </w:tcPr>
          <w:p w:rsidR="00746F5F" w:rsidRDefault="00746F5F" w:rsidP="00F20E6D">
            <w:pPr>
              <w:pStyle w:val="Default"/>
              <w:jc w:val="both"/>
              <w:rPr>
                <w:sz w:val="22"/>
                <w:szCs w:val="22"/>
              </w:rPr>
            </w:pPr>
            <w:r>
              <w:rPr>
                <w:sz w:val="22"/>
                <w:szCs w:val="22"/>
              </w:rPr>
              <w:t>2012</w:t>
            </w:r>
          </w:p>
        </w:tc>
        <w:tc>
          <w:tcPr>
            <w:tcW w:w="4253" w:type="dxa"/>
          </w:tcPr>
          <w:p w:rsidR="00746F5F" w:rsidRDefault="00746F5F" w:rsidP="00F20E6D">
            <w:pPr>
              <w:pStyle w:val="Default"/>
              <w:jc w:val="both"/>
              <w:rPr>
                <w:sz w:val="22"/>
                <w:szCs w:val="22"/>
              </w:rPr>
            </w:pPr>
            <w:r w:rsidRPr="00F20E6D">
              <w:rPr>
                <w:sz w:val="22"/>
                <w:szCs w:val="22"/>
              </w:rPr>
              <w:t>21 bin 596 kişi</w:t>
            </w:r>
          </w:p>
        </w:tc>
      </w:tr>
    </w:tbl>
    <w:p w:rsidR="00746F5F" w:rsidRDefault="009209CD" w:rsidP="00F20E6D">
      <w:pPr>
        <w:pStyle w:val="Default"/>
        <w:jc w:val="both"/>
        <w:rPr>
          <w:sz w:val="22"/>
          <w:szCs w:val="22"/>
        </w:rPr>
      </w:pPr>
      <w:r>
        <w:rPr>
          <w:sz w:val="22"/>
          <w:szCs w:val="22"/>
        </w:rPr>
        <w:t xml:space="preserve">       * Kaynak: TÜİK</w:t>
      </w:r>
    </w:p>
    <w:p w:rsidR="008251A8" w:rsidRDefault="008251A8" w:rsidP="00F20E6D">
      <w:pPr>
        <w:pStyle w:val="Default"/>
        <w:jc w:val="both"/>
        <w:rPr>
          <w:sz w:val="22"/>
          <w:szCs w:val="22"/>
        </w:rPr>
      </w:pPr>
    </w:p>
    <w:p w:rsidR="008251A8" w:rsidRDefault="008251A8" w:rsidP="00F20E6D">
      <w:pPr>
        <w:pStyle w:val="Default"/>
        <w:jc w:val="both"/>
        <w:rPr>
          <w:sz w:val="22"/>
          <w:szCs w:val="22"/>
        </w:rPr>
      </w:pPr>
    </w:p>
    <w:p w:rsidR="000462FD" w:rsidRDefault="000462FD" w:rsidP="003D0F91">
      <w:pPr>
        <w:pStyle w:val="Default"/>
        <w:jc w:val="both"/>
        <w:rPr>
          <w:sz w:val="22"/>
          <w:szCs w:val="22"/>
        </w:rPr>
      </w:pPr>
    </w:p>
    <w:p w:rsidR="002369E2" w:rsidRDefault="002369E2" w:rsidP="003D0F91">
      <w:pPr>
        <w:pStyle w:val="Default"/>
        <w:jc w:val="both"/>
        <w:rPr>
          <w:sz w:val="22"/>
          <w:szCs w:val="22"/>
        </w:rPr>
      </w:pPr>
    </w:p>
    <w:p w:rsidR="002369E2" w:rsidRDefault="002369E2" w:rsidP="003D0F91">
      <w:pPr>
        <w:pStyle w:val="Default"/>
        <w:jc w:val="both"/>
        <w:rPr>
          <w:sz w:val="22"/>
          <w:szCs w:val="22"/>
        </w:rPr>
      </w:pPr>
    </w:p>
    <w:p w:rsidR="009209CD" w:rsidRDefault="009209CD" w:rsidP="003D0F91">
      <w:pPr>
        <w:pStyle w:val="Default"/>
        <w:jc w:val="both"/>
        <w:rPr>
          <w:sz w:val="22"/>
          <w:szCs w:val="22"/>
        </w:rPr>
      </w:pPr>
    </w:p>
    <w:p w:rsidR="00B12251" w:rsidRPr="00AF3DCC" w:rsidRDefault="00AF3DCC" w:rsidP="00324947">
      <w:pPr>
        <w:jc w:val="both"/>
        <w:rPr>
          <w:b/>
        </w:rPr>
      </w:pPr>
      <w:r w:rsidRPr="00AF3DCC">
        <w:rPr>
          <w:b/>
        </w:rPr>
        <w:lastRenderedPageBreak/>
        <w:t>FITUR TURİZM FUARI</w:t>
      </w:r>
    </w:p>
    <w:p w:rsidR="009C3F71" w:rsidRDefault="009C3F71" w:rsidP="006166E3">
      <w:pPr>
        <w:jc w:val="both"/>
      </w:pPr>
      <w:r>
        <w:t xml:space="preserve">İspanya’nın turizm alanındaki en önemli etkinliği olan FITUR Uluslararası Turizm Fuarı, bu yıl 22-26 Ocak tarihleri arasında gerçekleştirildi. </w:t>
      </w:r>
      <w:r w:rsidR="00724024">
        <w:t xml:space="preserve">2014 yılında </w:t>
      </w:r>
      <w:r w:rsidR="00652464">
        <w:t xml:space="preserve">34’üncü kez </w:t>
      </w:r>
      <w:r>
        <w:t xml:space="preserve">turizmcileri ağırlayan </w:t>
      </w:r>
      <w:r w:rsidR="006166E3">
        <w:t>FITUR Uluslararası Turizm Fuarı</w:t>
      </w:r>
      <w:r>
        <w:t xml:space="preserve"> </w:t>
      </w:r>
      <w:r w:rsidR="00652464">
        <w:t>130 bin 530 metrekarelik alana yayılırken stan</w:t>
      </w:r>
      <w:r w:rsidR="006166E3">
        <w:t>t</w:t>
      </w:r>
      <w:r w:rsidR="00652464">
        <w:t>ların kapladığı net alan 56 bin 690 metrekare</w:t>
      </w:r>
      <w:r w:rsidR="006166E3">
        <w:t xml:space="preserve"> oldu. Avrupa ülkelerinin tamamı 4 </w:t>
      </w:r>
      <w:proofErr w:type="spellStart"/>
      <w:r w:rsidR="006166E3">
        <w:t>No’lu</w:t>
      </w:r>
      <w:proofErr w:type="spellEnd"/>
      <w:r w:rsidR="006166E3">
        <w:t xml:space="preserve"> salonda temsil edilirken Türkiye salon girişinde yer alan konumuyla dikkat çekti. </w:t>
      </w:r>
    </w:p>
    <w:p w:rsidR="00437E48" w:rsidRDefault="00437E48" w:rsidP="006166E3">
      <w:pPr>
        <w:jc w:val="both"/>
      </w:pPr>
      <w:r>
        <w:rPr>
          <w:noProof/>
          <w:lang w:eastAsia="tr-TR"/>
        </w:rPr>
        <w:drawing>
          <wp:inline distT="0" distB="0" distL="0" distR="0">
            <wp:extent cx="2796994" cy="2099144"/>
            <wp:effectExtent l="0" t="0" r="3810" b="0"/>
            <wp:docPr id="13" name="Resim 13" descr="C:\Users\fatih.gonul\Desktop\fitur-foto\IMG-2014012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h.gonul\Desktop\fitur-foto\IMG-20140129-WA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8309" cy="2100131"/>
                    </a:xfrm>
                    <a:prstGeom prst="rect">
                      <a:avLst/>
                    </a:prstGeom>
                    <a:noFill/>
                    <a:ln>
                      <a:noFill/>
                    </a:ln>
                  </pic:spPr>
                </pic:pic>
              </a:graphicData>
            </a:graphic>
          </wp:inline>
        </w:drawing>
      </w:r>
      <w:r w:rsidRPr="00437E4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lang w:eastAsia="tr-TR"/>
        </w:rPr>
        <w:drawing>
          <wp:inline distT="0" distB="0" distL="0" distR="0">
            <wp:extent cx="2806810" cy="2106510"/>
            <wp:effectExtent l="0" t="0" r="0" b="8255"/>
            <wp:docPr id="14" name="Resim 14" descr="C:\Users\fatih.gonul\Desktop\fitur-foto\IMG-20140129-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h.gonul\Desktop\fitur-foto\IMG-20140129-WA000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7031" cy="2114181"/>
                    </a:xfrm>
                    <a:prstGeom prst="rect">
                      <a:avLst/>
                    </a:prstGeom>
                    <a:noFill/>
                    <a:ln>
                      <a:noFill/>
                    </a:ln>
                  </pic:spPr>
                </pic:pic>
              </a:graphicData>
            </a:graphic>
          </wp:inline>
        </w:drawing>
      </w:r>
    </w:p>
    <w:p w:rsidR="006166E3" w:rsidRDefault="009209CD" w:rsidP="00932DFC">
      <w:pPr>
        <w:jc w:val="both"/>
      </w:pPr>
      <w:r>
        <w:t xml:space="preserve">Türkiye’nin 2014 yılı tanıtım çalışmaları kapsamında belirlenen “Home of” sloganı fuarda vurgulandı. </w:t>
      </w:r>
      <w:r w:rsidR="009C3F71">
        <w:t>645 metrekarelik alana yayılan Türkiye standında</w:t>
      </w:r>
      <w:r w:rsidR="00932DFC">
        <w:t xml:space="preserve"> gerçekleştirilen hat ve ebru </w:t>
      </w:r>
      <w:r>
        <w:t xml:space="preserve">sanatı </w:t>
      </w:r>
      <w:r w:rsidR="00932DFC">
        <w:t xml:space="preserve">çalışmaları ile toprak testi yapımı fuar ziyaretçilerinin büyük ilgisi ile karşılaştı. </w:t>
      </w:r>
      <w:r w:rsidR="009C3F71" w:rsidRPr="009C3F71">
        <w:t>Madrid Kültür ve Tanıtma Müşavirliği'nin</w:t>
      </w:r>
      <w:r w:rsidR="009C3F71">
        <w:t xml:space="preserve"> organizasyonu ile </w:t>
      </w:r>
      <w:r w:rsidR="00932DFC">
        <w:t>gerçekleştirilen ikramlarda ziyaretçilere, simit, Türk kahvesi, çay ve bak</w:t>
      </w:r>
      <w:r w:rsidR="000462FD">
        <w:t>lava ikram edildi.</w:t>
      </w:r>
    </w:p>
    <w:p w:rsidR="000462FD" w:rsidRDefault="00263145" w:rsidP="00932DFC">
      <w:pPr>
        <w:jc w:val="both"/>
      </w:pPr>
      <w:r>
        <w:rPr>
          <w:rFonts w:ascii="Times New Roman" w:eastAsia="Times New Roman" w:hAnsi="Times New Roman" w:cs="Times New Roman"/>
          <w:noProof/>
          <w:color w:val="000000"/>
          <w:w w:val="0"/>
          <w:sz w:val="0"/>
          <w:szCs w:val="0"/>
          <w:u w:color="000000"/>
          <w:bdr w:val="none" w:sz="0" w:space="0" w:color="000000"/>
          <w:shd w:val="clear" w:color="000000" w:fill="000000"/>
          <w:lang w:eastAsia="tr-TR"/>
        </w:rPr>
        <w:drawing>
          <wp:inline distT="0" distB="0" distL="0" distR="0" wp14:anchorId="19BA5B56" wp14:editId="1D4EB60E">
            <wp:extent cx="2803585" cy="2141546"/>
            <wp:effectExtent l="0" t="0" r="0" b="0"/>
            <wp:docPr id="2" name="Resim 2" descr="C:\Users\fatih.gonul\Desktop\Fit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Fitur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07568" cy="2144589"/>
                    </a:xfrm>
                    <a:prstGeom prst="rect">
                      <a:avLst/>
                    </a:prstGeom>
                    <a:noFill/>
                    <a:ln>
                      <a:noFill/>
                    </a:ln>
                  </pic:spPr>
                </pic:pic>
              </a:graphicData>
            </a:graphic>
          </wp:inline>
        </w:drawing>
      </w:r>
      <w:r w:rsidR="000462FD" w:rsidRPr="000462F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462FD">
        <w:rPr>
          <w:noProof/>
          <w:lang w:eastAsia="tr-TR"/>
        </w:rPr>
        <w:drawing>
          <wp:inline distT="0" distB="0" distL="0" distR="0">
            <wp:extent cx="2859783" cy="2146267"/>
            <wp:effectExtent l="0" t="0" r="0" b="6985"/>
            <wp:docPr id="18" name="Resim 18" descr="C:\Users\fatih.gonul\Desktop\fitur-foto\IMG-20140129-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fitur-foto\IMG-20140129-WA000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9783" cy="2146267"/>
                    </a:xfrm>
                    <a:prstGeom prst="rect">
                      <a:avLst/>
                    </a:prstGeom>
                    <a:noFill/>
                    <a:ln>
                      <a:noFill/>
                    </a:ln>
                  </pic:spPr>
                </pic:pic>
              </a:graphicData>
            </a:graphic>
          </wp:inline>
        </w:drawing>
      </w:r>
    </w:p>
    <w:p w:rsidR="00263145" w:rsidRPr="00263145" w:rsidRDefault="00263145" w:rsidP="000462FD">
      <w:pPr>
        <w:jc w:val="both"/>
        <w:rPr>
          <w:b/>
          <w:sz w:val="16"/>
          <w:szCs w:val="16"/>
        </w:rPr>
      </w:pPr>
      <w:r w:rsidRPr="00263145">
        <w:rPr>
          <w:b/>
          <w:sz w:val="16"/>
          <w:szCs w:val="16"/>
        </w:rPr>
        <w:t>İstanbul Vali Yardımcısı Kazım Tekin eşi ile birlikte TÜRSAB standını ziyaret etti</w:t>
      </w:r>
    </w:p>
    <w:p w:rsidR="007722EB" w:rsidRDefault="007722EB" w:rsidP="000462FD">
      <w:pPr>
        <w:jc w:val="both"/>
        <w:rPr>
          <w:b/>
        </w:rPr>
      </w:pPr>
    </w:p>
    <w:p w:rsidR="000462FD" w:rsidRPr="000462FD" w:rsidRDefault="000462FD" w:rsidP="000462FD">
      <w:pPr>
        <w:jc w:val="both"/>
        <w:rPr>
          <w:b/>
        </w:rPr>
      </w:pPr>
      <w:r w:rsidRPr="000462FD">
        <w:rPr>
          <w:b/>
        </w:rPr>
        <w:t>2014 İSPANYA PAZAR BEKLENTİLERİ</w:t>
      </w:r>
    </w:p>
    <w:p w:rsidR="00263145" w:rsidRDefault="00263145" w:rsidP="00263145">
      <w:r>
        <w:t>- Küresel ekonomik krizin etkilerini hissetmeye devam eden İspanya pazarında 2014 yılını şekillendirecek en önemli unsur ekonomik dengeler olacak. Makroekonomik dengeler iki ülke arasındaki karşılıklı turist akışını doğrudan etkileyecek.</w:t>
      </w:r>
    </w:p>
    <w:p w:rsidR="00263145" w:rsidRDefault="00263145" w:rsidP="00263145">
      <w:r>
        <w:t xml:space="preserve">- 2014 yılında İspanya’dan Türkiye’ye gelecek turist sayısını İspanya’nın içinde bulunduğu ekonomik durum belirleyecek. İşsizlik oranı bu süreçte önemli belirleyicilerden birisi olacak. </w:t>
      </w:r>
    </w:p>
    <w:p w:rsidR="00263145" w:rsidRDefault="00263145" w:rsidP="00263145">
      <w:r>
        <w:t xml:space="preserve">- Avrupa Komisyonu’nun İspanya’daki işsizlik oranına ilişkin beklentisi 2014 yılında yüzde </w:t>
      </w:r>
      <w:proofErr w:type="gramStart"/>
      <w:r>
        <w:t>26.4</w:t>
      </w:r>
      <w:proofErr w:type="gramEnd"/>
      <w:r>
        <w:t>, 2015’te ise 25.3 olarak açıklandı.</w:t>
      </w:r>
    </w:p>
    <w:p w:rsidR="00263145" w:rsidRDefault="00263145" w:rsidP="00263145">
      <w:r>
        <w:lastRenderedPageBreak/>
        <w:t>- İspanya’da 2013 yılında genel seyahat sayısında yüzde 2,3’lük düşüş yaşanmasına rağmen Türkiye’ye gelen İspanyol turist sayısında yüzde 4.41’lik artış yaşanması 2014 yılı İspanya pazarı için umutları arttırıyor.</w:t>
      </w:r>
    </w:p>
    <w:p w:rsidR="00A70314" w:rsidRDefault="00A70314" w:rsidP="00A70314">
      <w:r>
        <w:t>- 2014’te İspanya’dan Türkiye’ye gelecek turist sayısına ilişkin temkinli iyimserlik olarak tanımlanabilecek beklentinin gerçeğe dönüşmesi Paskalya döneminde gerçekleşecek satışlara bağlı olarak şekillenecek.</w:t>
      </w:r>
    </w:p>
    <w:p w:rsidR="00263145" w:rsidRDefault="00263145" w:rsidP="00263145">
      <w:r>
        <w:t>- THY’nin İspanya’da uçtuğu nokta sayısını 6’ya çıkartması ve karşılıklı olarak haftada toplam 70 uçuş gerçekleştirmesi iki ülke arasındaki turizm hareketlerini olumlu etkileyecek.</w:t>
      </w:r>
    </w:p>
    <w:p w:rsidR="00A926B7" w:rsidRDefault="00A926B7" w:rsidP="00263145">
      <w:r>
        <w:t>- Türkiye’nin 10 Nisan 2014 tarihinde kapıda vize uygulamasına son verme yönündeki planı İspanya pazarı içinde endişeye neden olurken TÜRSAB Yönetimi’nin 24 Ocak tarihinde Ankara’da gerçekleştirdiği temaslarla çözüm için önemli yol alındı.</w:t>
      </w:r>
    </w:p>
    <w:p w:rsidR="007722EB" w:rsidRDefault="00A926B7" w:rsidP="00263145">
      <w:r>
        <w:t xml:space="preserve">TÜRSAB Başkanı Başaran Ulusoy ve TÜRSAB II. Başkanı </w:t>
      </w:r>
      <w:proofErr w:type="spellStart"/>
      <w:r>
        <w:t>Firuz</w:t>
      </w:r>
      <w:proofErr w:type="spellEnd"/>
      <w:r>
        <w:t xml:space="preserve"> </w:t>
      </w:r>
      <w:proofErr w:type="spellStart"/>
      <w:r>
        <w:t>Bağlıkaya</w:t>
      </w:r>
      <w:r w:rsidR="002369E2">
        <w:t>’nın</w:t>
      </w:r>
      <w:proofErr w:type="spellEnd"/>
      <w:r w:rsidR="002369E2">
        <w:t xml:space="preserve"> </w:t>
      </w:r>
      <w:r>
        <w:t>İçişleri Bakanı Efkan Ala ve Dışişleri Bakan Yardımcısı Naci Koru ile gerçekleştirdikleri görüşmelerde</w:t>
      </w:r>
      <w:r w:rsidR="00617508">
        <w:t>,</w:t>
      </w:r>
      <w:r>
        <w:t xml:space="preserve"> </w:t>
      </w:r>
      <w:r w:rsidR="002369E2">
        <w:t xml:space="preserve">e-Vize uygulamasının yurtdışından ülkemize gelecek yabancı ziyaretçilerin mağduriyetlerine sebebiyet verilmeyecek biçimde en kısa sürede çözüme kavuşturulması hususunda </w:t>
      </w:r>
      <w:r w:rsidR="007722EB">
        <w:t xml:space="preserve">mutabakat sağlandı. </w:t>
      </w:r>
    </w:p>
    <w:p w:rsidR="002369E2" w:rsidRDefault="007722EB" w:rsidP="00263145">
      <w:r>
        <w:t>Konunun</w:t>
      </w:r>
      <w:r w:rsidR="00417537">
        <w:t>,</w:t>
      </w:r>
      <w:r>
        <w:t xml:space="preserve"> </w:t>
      </w:r>
      <w:r w:rsidR="002369E2">
        <w:t>Bakanlar Kurulu gündemine taşın</w:t>
      </w:r>
      <w:r w:rsidR="00417537">
        <w:t xml:space="preserve">arak </w:t>
      </w:r>
      <w:r w:rsidR="00A70314">
        <w:t xml:space="preserve">1 yıllık erteleme için çalışma yapılacağı </w:t>
      </w:r>
      <w:r w:rsidR="00617508">
        <w:t>belirtilirken s</w:t>
      </w:r>
      <w:r w:rsidR="002369E2">
        <w:t>üre</w:t>
      </w:r>
      <w:r w:rsidR="00617508">
        <w:t xml:space="preserve">cin </w:t>
      </w:r>
      <w:r w:rsidR="002369E2">
        <w:t>tamamlan</w:t>
      </w:r>
      <w:r w:rsidR="00617508">
        <w:t xml:space="preserve">masıyla birlikte </w:t>
      </w:r>
      <w:r w:rsidR="002369E2">
        <w:t xml:space="preserve">havalimanlarında hızlı </w:t>
      </w:r>
      <w:r w:rsidR="00617508">
        <w:t xml:space="preserve">vize alımını sağlayacak </w:t>
      </w:r>
      <w:r w:rsidR="002369E2">
        <w:t xml:space="preserve">e-Vize </w:t>
      </w:r>
      <w:proofErr w:type="spellStart"/>
      <w:r w:rsidR="002369E2">
        <w:t>kioskları</w:t>
      </w:r>
      <w:proofErr w:type="spellEnd"/>
      <w:r w:rsidR="002369E2">
        <w:t xml:space="preserve"> oluşturulması yönünde karar alındı. TÜ</w:t>
      </w:r>
      <w:bookmarkStart w:id="0" w:name="_GoBack"/>
      <w:bookmarkEnd w:id="0"/>
      <w:r w:rsidR="002369E2">
        <w:t>RSAB</w:t>
      </w:r>
      <w:r>
        <w:t xml:space="preserve"> Yönetimi</w:t>
      </w:r>
      <w:r w:rsidR="002369E2">
        <w:t xml:space="preserve">, </w:t>
      </w:r>
      <w:r w:rsidR="00617508">
        <w:t xml:space="preserve">yurt dışındaki tur operatörlerinin </w:t>
      </w:r>
      <w:r w:rsidR="002369E2">
        <w:t xml:space="preserve">ofislerine de e-Vize </w:t>
      </w:r>
      <w:proofErr w:type="spellStart"/>
      <w:r w:rsidR="002369E2">
        <w:t>kioskları</w:t>
      </w:r>
      <w:proofErr w:type="spellEnd"/>
      <w:r w:rsidR="002369E2">
        <w:t xml:space="preserve"> kon</w:t>
      </w:r>
      <w:r>
        <w:t>ul</w:t>
      </w:r>
      <w:r w:rsidR="002369E2">
        <w:t>ması konusunda talepte bulundu.</w:t>
      </w:r>
    </w:p>
    <w:p w:rsidR="00263145" w:rsidRDefault="00263145" w:rsidP="00263145">
      <w:r>
        <w:t>- Gelişmekte olan ülkeler para birimlerinin Dolar ve Euro karşısındaki değer kaybı devam ederken Türk Lirası bu süreçte en büyük kaybı yaşayan para birimlerinden biri oldu. TL’nin değer kaybı 2014 yılında Türkiye’den İspanya’ya giden turist sayısını düşürmeye devam edebilir.</w:t>
      </w:r>
    </w:p>
    <w:p w:rsidR="00263145" w:rsidRDefault="00263145" w:rsidP="00263145">
      <w:r>
        <w:t xml:space="preserve">- Türkiye’den </w:t>
      </w:r>
      <w:proofErr w:type="spellStart"/>
      <w:r>
        <w:t>outgoing</w:t>
      </w:r>
      <w:proofErr w:type="spellEnd"/>
      <w:r>
        <w:t xml:space="preserve"> yapan şirketlerin İspanya’ya gidişlerde yaşadığı en büyük sorun, vize işlemlerinin uzun sürmesi. TÜRSAB sorunun çözümü için İspanya Konsolosluğu ile temasa geçti.</w:t>
      </w:r>
    </w:p>
    <w:p w:rsidR="008235D1" w:rsidRDefault="008235D1" w:rsidP="008235D1"/>
    <w:sectPr w:rsidR="008235D1" w:rsidSect="000462FD">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33BA"/>
    <w:rsid w:val="00024963"/>
    <w:rsid w:val="000462FD"/>
    <w:rsid w:val="00056B74"/>
    <w:rsid w:val="000934C6"/>
    <w:rsid w:val="000B187B"/>
    <w:rsid w:val="000B1F85"/>
    <w:rsid w:val="000F2484"/>
    <w:rsid w:val="001A6E59"/>
    <w:rsid w:val="001B2A1F"/>
    <w:rsid w:val="001B2FB0"/>
    <w:rsid w:val="001C78A4"/>
    <w:rsid w:val="00220FF5"/>
    <w:rsid w:val="002369E2"/>
    <w:rsid w:val="00244154"/>
    <w:rsid w:val="00263145"/>
    <w:rsid w:val="00295024"/>
    <w:rsid w:val="00296487"/>
    <w:rsid w:val="002A31B5"/>
    <w:rsid w:val="002B3AEA"/>
    <w:rsid w:val="002F3A99"/>
    <w:rsid w:val="00320A4E"/>
    <w:rsid w:val="00324947"/>
    <w:rsid w:val="00336EE9"/>
    <w:rsid w:val="00337FFB"/>
    <w:rsid w:val="00382D54"/>
    <w:rsid w:val="003B327E"/>
    <w:rsid w:val="003D0F91"/>
    <w:rsid w:val="003D3277"/>
    <w:rsid w:val="003F38C5"/>
    <w:rsid w:val="00417537"/>
    <w:rsid w:val="004321B9"/>
    <w:rsid w:val="00437E48"/>
    <w:rsid w:val="00460481"/>
    <w:rsid w:val="004905BF"/>
    <w:rsid w:val="004A0441"/>
    <w:rsid w:val="004A69CF"/>
    <w:rsid w:val="0059318A"/>
    <w:rsid w:val="005E3D26"/>
    <w:rsid w:val="005F299F"/>
    <w:rsid w:val="006166E3"/>
    <w:rsid w:val="00617508"/>
    <w:rsid w:val="00652464"/>
    <w:rsid w:val="00675A5D"/>
    <w:rsid w:val="00675E52"/>
    <w:rsid w:val="006774A0"/>
    <w:rsid w:val="006A0B3F"/>
    <w:rsid w:val="00724024"/>
    <w:rsid w:val="00746F5F"/>
    <w:rsid w:val="007542FC"/>
    <w:rsid w:val="00766775"/>
    <w:rsid w:val="007722EB"/>
    <w:rsid w:val="00793BE5"/>
    <w:rsid w:val="007E35A7"/>
    <w:rsid w:val="008235D1"/>
    <w:rsid w:val="008251A8"/>
    <w:rsid w:val="00893A8E"/>
    <w:rsid w:val="008C1523"/>
    <w:rsid w:val="008F4598"/>
    <w:rsid w:val="0091662A"/>
    <w:rsid w:val="009209CD"/>
    <w:rsid w:val="00921A63"/>
    <w:rsid w:val="009321EB"/>
    <w:rsid w:val="00932DFC"/>
    <w:rsid w:val="00942660"/>
    <w:rsid w:val="009C3F71"/>
    <w:rsid w:val="00A07C53"/>
    <w:rsid w:val="00A245E1"/>
    <w:rsid w:val="00A25227"/>
    <w:rsid w:val="00A4565A"/>
    <w:rsid w:val="00A6285B"/>
    <w:rsid w:val="00A70314"/>
    <w:rsid w:val="00A9009E"/>
    <w:rsid w:val="00A926B7"/>
    <w:rsid w:val="00AD6F39"/>
    <w:rsid w:val="00AE55CE"/>
    <w:rsid w:val="00AE5B8D"/>
    <w:rsid w:val="00AF3DCC"/>
    <w:rsid w:val="00B12251"/>
    <w:rsid w:val="00B239E2"/>
    <w:rsid w:val="00B26955"/>
    <w:rsid w:val="00B43C8A"/>
    <w:rsid w:val="00B64E12"/>
    <w:rsid w:val="00B759BE"/>
    <w:rsid w:val="00BA225F"/>
    <w:rsid w:val="00BC20C9"/>
    <w:rsid w:val="00BF0CBC"/>
    <w:rsid w:val="00C03904"/>
    <w:rsid w:val="00C17601"/>
    <w:rsid w:val="00C52490"/>
    <w:rsid w:val="00C80425"/>
    <w:rsid w:val="00C807CE"/>
    <w:rsid w:val="00C83E82"/>
    <w:rsid w:val="00CA7857"/>
    <w:rsid w:val="00CD5419"/>
    <w:rsid w:val="00CD77C4"/>
    <w:rsid w:val="00D04153"/>
    <w:rsid w:val="00D246F8"/>
    <w:rsid w:val="00D83DBF"/>
    <w:rsid w:val="00D92157"/>
    <w:rsid w:val="00E266C5"/>
    <w:rsid w:val="00E514D9"/>
    <w:rsid w:val="00EA24BE"/>
    <w:rsid w:val="00F20E6D"/>
    <w:rsid w:val="00F368A2"/>
    <w:rsid w:val="00F42269"/>
    <w:rsid w:val="00FA595D"/>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4C6"/>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semiHidden/>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4C6"/>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semiHidden/>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chart" Target="charts/chart3.xm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diagramColors" Target="diagrams/colors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image" Target="media/image6.jpeg"/><Relationship Id="rId10" Type="http://schemas.openxmlformats.org/officeDocument/2006/relationships/oleObject" Target="embeddings/oleObject2.bin"/><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sz="1600"/>
              <a:t>TURİZMİN İSPANYA EKONOMİSİ İÇİNDEKİ PAYI</a:t>
            </a:r>
          </a:p>
        </c:rich>
      </c:tx>
      <c:overlay val="0"/>
    </c:title>
    <c:autoTitleDeleted val="0"/>
    <c:view3D>
      <c:rotX val="15"/>
      <c:rotY val="14"/>
      <c:rAngAx val="0"/>
      <c:perspective val="10"/>
    </c:view3D>
    <c:floor>
      <c:thickness val="0"/>
    </c:floor>
    <c:sideWall>
      <c:thickness val="0"/>
    </c:sideWall>
    <c:backWall>
      <c:thickness val="0"/>
    </c:backWall>
    <c:plotArea>
      <c:layout>
        <c:manualLayout>
          <c:layoutTarget val="inner"/>
          <c:xMode val="edge"/>
          <c:yMode val="edge"/>
          <c:x val="8.8569736074657318E-2"/>
          <c:y val="0.22774028246469194"/>
          <c:w val="0.64275645231846013"/>
          <c:h val="0.64352737157855266"/>
        </c:manualLayout>
      </c:layout>
      <c:pie3DChart>
        <c:varyColors val="1"/>
        <c:ser>
          <c:idx val="0"/>
          <c:order val="0"/>
          <c:tx>
            <c:strRef>
              <c:f>Sayfa1!$B$1</c:f>
              <c:strCache>
                <c:ptCount val="1"/>
                <c:pt idx="0">
                  <c:v>TURİZMİN İSPANYA EKONOMİSİ İÇİNDEKİ PAYI</c:v>
                </c:pt>
              </c:strCache>
            </c:strRef>
          </c:tx>
          <c:explosion val="25"/>
          <c:dLbls>
            <c:dLbl>
              <c:idx val="1"/>
              <c:layout>
                <c:manualLayout>
                  <c:x val="-4.5105807086614172E-2"/>
                  <c:y val="-7.3056886165991652E-2"/>
                </c:manualLayout>
              </c:layout>
              <c:showLegendKey val="0"/>
              <c:showVal val="1"/>
              <c:showCatName val="1"/>
              <c:showSerName val="0"/>
              <c:showPercent val="0"/>
              <c:showBubbleSize val="0"/>
            </c:dLbl>
            <c:dLbl>
              <c:idx val="2"/>
              <c:layout>
                <c:manualLayout>
                  <c:x val="-0.14663476961213182"/>
                  <c:y val="-9.7260736205144138E-2"/>
                </c:manualLayout>
              </c:layout>
              <c:tx>
                <c:rich>
                  <a:bodyPr/>
                  <a:lstStyle/>
                  <a:p>
                    <a:r>
                      <a:rPr lang="en-US" sz="1200" b="1">
                        <a:solidFill>
                          <a:schemeClr val="bg1"/>
                        </a:solidFill>
                      </a:rPr>
                      <a:t>Turizm; 10,9</a:t>
                    </a:r>
                  </a:p>
                </c:rich>
              </c:tx>
              <c:showLegendKey val="0"/>
              <c:showVal val="1"/>
              <c:showCatName val="1"/>
              <c:showSerName val="0"/>
              <c:showPercent val="0"/>
              <c:showBubbleSize val="0"/>
              <c:separator> </c:separator>
            </c:dLbl>
            <c:dLbl>
              <c:idx val="3"/>
              <c:layout>
                <c:manualLayout>
                  <c:x val="0.14803824001166521"/>
                  <c:y val="-0.13575732019124576"/>
                </c:manualLayout>
              </c:layout>
              <c:tx>
                <c:rich>
                  <a:bodyPr/>
                  <a:lstStyle/>
                  <a:p>
                    <a:r>
                      <a:rPr lang="en-US" b="1">
                        <a:solidFill>
                          <a:schemeClr val="bg1"/>
                        </a:solidFill>
                      </a:rPr>
                      <a:t>Hizmet sektörü diğer; 60,8</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Sayfa1!$A$2:$A$5</c:f>
              <c:strCache>
                <c:ptCount val="4"/>
                <c:pt idx="0">
                  <c:v>Tarım</c:v>
                </c:pt>
                <c:pt idx="1">
                  <c:v>Sanayi</c:v>
                </c:pt>
                <c:pt idx="2">
                  <c:v>Turizm</c:v>
                </c:pt>
                <c:pt idx="3">
                  <c:v>Hizmet sektörü diğer</c:v>
                </c:pt>
              </c:strCache>
            </c:strRef>
          </c:cat>
          <c:val>
            <c:numRef>
              <c:f>Sayfa1!$B$2:$B$5</c:f>
              <c:numCache>
                <c:formatCode>General</c:formatCode>
                <c:ptCount val="4"/>
                <c:pt idx="0">
                  <c:v>3.1</c:v>
                </c:pt>
                <c:pt idx="1">
                  <c:v>24</c:v>
                </c:pt>
                <c:pt idx="2">
                  <c:v>10.9</c:v>
                </c:pt>
                <c:pt idx="3">
                  <c:v>60.8</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spPr>
    <a:effectLst>
      <a:outerShdw blurRad="50800" dist="38100" dir="2700000" sx="101000" sy="101000" algn="tl" rotWithShape="0">
        <a:prstClr val="black">
          <a:alpha val="40000"/>
        </a:prst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İSPANYA'NIN SON 10 YILDAKİ </a:t>
            </a:r>
            <a:r>
              <a:rPr lang="tr-TR"/>
              <a:t>TURİST SAYISI</a:t>
            </a:r>
            <a:endParaRPr lang="en-US"/>
          </a:p>
        </c:rich>
      </c:tx>
      <c:overlay val="0"/>
    </c:title>
    <c:autoTitleDeleted val="0"/>
    <c:plotArea>
      <c:layout/>
      <c:areaChart>
        <c:grouping val="standard"/>
        <c:varyColors val="0"/>
        <c:ser>
          <c:idx val="0"/>
          <c:order val="0"/>
          <c:tx>
            <c:strRef>
              <c:f>Sayfa1!$B$1</c:f>
              <c:strCache>
                <c:ptCount val="1"/>
                <c:pt idx="0">
                  <c:v>İSPANYA'NIN SON 10 YILDAKİ ZİYARETÇİ SAYILARI </c:v>
                </c:pt>
              </c:strCache>
            </c:strRef>
          </c:tx>
          <c:spPr>
            <a:effectLst>
              <a:outerShdw blurRad="50800" dist="50800" dir="5400000" sx="1000" sy="1000" algn="ctr" rotWithShape="0">
                <a:srgbClr val="000000">
                  <a:alpha val="43137"/>
                </a:srgbClr>
              </a:outerShdw>
            </a:effectLst>
          </c:spPr>
          <c:dLbls>
            <c:dLbl>
              <c:idx val="0"/>
              <c:layout>
                <c:manualLayout>
                  <c:x val="2.5462962962962951E-2"/>
                  <c:y val="-2.3809523809523808E-2"/>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1"/>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2"/>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3"/>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4"/>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5"/>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6"/>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7"/>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8"/>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9"/>
              <c:layout>
                <c:manualLayout>
                  <c:x val="-2.7777777777777776E-2"/>
                  <c:y val="-0.21428571428571427"/>
                </c:manualLayout>
              </c:layout>
              <c:tx>
                <c:rich>
                  <a:bodyPr/>
                  <a:lstStyle/>
                  <a:p>
                    <a:pPr>
                      <a:defRPr b="1">
                        <a:solidFill>
                          <a:schemeClr val="bg1"/>
                        </a:solidFill>
                      </a:defRPr>
                    </a:pPr>
                    <a:r>
                      <a:rPr lang="en-US">
                        <a:solidFill>
                          <a:schemeClr val="bg1"/>
                        </a:solidFill>
                      </a:rPr>
                      <a:t>60,</a:t>
                    </a:r>
                    <a:r>
                      <a:rPr lang="tr-TR">
                        <a:solidFill>
                          <a:schemeClr val="bg1"/>
                        </a:solidFill>
                      </a:rPr>
                      <a:t>6</a:t>
                    </a:r>
                    <a:endParaRPr lang="en-US"/>
                  </a:p>
                </c:rich>
              </c:tx>
              <c:spPr>
                <a:effectLst>
                  <a:outerShdw blurRad="50800" dist="38100" dir="2700000" algn="tl" rotWithShape="0">
                    <a:schemeClr val="tx1"/>
                  </a:outerShdw>
                </a:effectLst>
              </c:spPr>
              <c:showLegendKey val="0"/>
              <c:showVal val="1"/>
              <c:showCatName val="0"/>
              <c:showSerName val="0"/>
              <c:showPercent val="0"/>
              <c:showBubbleSize val="0"/>
            </c:dLbl>
            <c:spPr>
              <a:effectLst>
                <a:outerShdw dir="17940000" sx="51000" sy="51000" algn="ctr" rotWithShape="0">
                  <a:srgbClr val="000000"/>
                </a:outerShdw>
              </a:effectLst>
            </c:spPr>
            <c:txPr>
              <a:bodyPr/>
              <a:lstStyle/>
              <a:p>
                <a:pPr>
                  <a:defRPr b="1">
                    <a:solidFill>
                      <a:schemeClr val="bg1"/>
                    </a:solidFill>
                  </a:defRPr>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52.4</c:v>
                </c:pt>
                <c:pt idx="1">
                  <c:v>55.7</c:v>
                </c:pt>
                <c:pt idx="2">
                  <c:v>58.2</c:v>
                </c:pt>
                <c:pt idx="3">
                  <c:v>58.7</c:v>
                </c:pt>
                <c:pt idx="4">
                  <c:v>57.2</c:v>
                </c:pt>
                <c:pt idx="5">
                  <c:v>52.2</c:v>
                </c:pt>
                <c:pt idx="6">
                  <c:v>52.7</c:v>
                </c:pt>
                <c:pt idx="7">
                  <c:v>56.2</c:v>
                </c:pt>
                <c:pt idx="8">
                  <c:v>57.7</c:v>
                </c:pt>
                <c:pt idx="9">
                  <c:v>60.4</c:v>
                </c:pt>
              </c:numCache>
            </c:numRef>
          </c:val>
        </c:ser>
        <c:dLbls>
          <c:showLegendKey val="0"/>
          <c:showVal val="0"/>
          <c:showCatName val="0"/>
          <c:showSerName val="0"/>
          <c:showPercent val="0"/>
          <c:showBubbleSize val="0"/>
        </c:dLbls>
        <c:axId val="134902272"/>
        <c:axId val="103068160"/>
      </c:areaChart>
      <c:catAx>
        <c:axId val="134902272"/>
        <c:scaling>
          <c:orientation val="minMax"/>
        </c:scaling>
        <c:delete val="0"/>
        <c:axPos val="b"/>
        <c:numFmt formatCode="General" sourceLinked="1"/>
        <c:majorTickMark val="out"/>
        <c:minorTickMark val="none"/>
        <c:tickLblPos val="nextTo"/>
        <c:crossAx val="103068160"/>
        <c:crosses val="autoZero"/>
        <c:auto val="1"/>
        <c:lblAlgn val="ctr"/>
        <c:lblOffset val="100"/>
        <c:noMultiLvlLbl val="0"/>
      </c:catAx>
      <c:valAx>
        <c:axId val="103068160"/>
        <c:scaling>
          <c:orientation val="minMax"/>
        </c:scaling>
        <c:delete val="0"/>
        <c:axPos val="l"/>
        <c:majorGridlines/>
        <c:numFmt formatCode="General" sourceLinked="1"/>
        <c:majorTickMark val="out"/>
        <c:minorTickMark val="none"/>
        <c:tickLblPos val="nextTo"/>
        <c:crossAx val="134902272"/>
        <c:crosses val="autoZero"/>
        <c:crossBetween val="midCat"/>
      </c:valAx>
    </c:plotArea>
    <c:plotVisOnly val="1"/>
    <c:dispBlanksAs val="gap"/>
    <c:showDLblsOverMax val="0"/>
  </c:chart>
  <c:spPr>
    <a:effectLst>
      <a:outerShdw blurRad="50800" dist="38100" dir="2700000" sx="101000" sy="101000" algn="tl" rotWithShape="0">
        <a:prstClr val="black">
          <a:alpha val="40000"/>
        </a:prstClr>
      </a:outerShdw>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tr-TR" sz="1200" b="1">
                <a:effectLst/>
              </a:rPr>
              <a:t>İSPANYA’YA  GİDEN TURİSTLERİN  ÜLKELERE GÖRE DAĞILIMI (%) </a:t>
            </a:r>
            <a:endParaRPr lang="en-US" sz="1200"/>
          </a:p>
        </c:rich>
      </c:tx>
      <c:layout>
        <c:manualLayout>
          <c:xMode val="edge"/>
          <c:yMode val="edge"/>
          <c:x val="0.15475722544857262"/>
          <c:y val="2.0314657730207224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9289429520009591E-2"/>
          <c:y val="0.26646087843670702"/>
          <c:w val="0.64379512515954596"/>
          <c:h val="0.69583759325124372"/>
        </c:manualLayout>
      </c:layout>
      <c:pie3DChart>
        <c:varyColors val="1"/>
        <c:ser>
          <c:idx val="0"/>
          <c:order val="0"/>
          <c:tx>
            <c:strRef>
              <c:f>Sayfa1!$B$1</c:f>
              <c:strCache>
                <c:ptCount val="1"/>
                <c:pt idx="0">
                  <c:v>Satışlar</c:v>
                </c:pt>
              </c:strCache>
            </c:strRef>
          </c:tx>
          <c:explosion val="23"/>
          <c:dPt>
            <c:idx val="5"/>
            <c:bubble3D val="0"/>
            <c:spPr>
              <a:solidFill>
                <a:schemeClr val="accent3">
                  <a:lumMod val="40000"/>
                  <a:lumOff val="60000"/>
                </a:schemeClr>
              </a:solidFill>
            </c:spPr>
          </c:dPt>
          <c:dLbls>
            <c:dLbl>
              <c:idx val="0"/>
              <c:tx>
                <c:rich>
                  <a:bodyPr/>
                  <a:lstStyle/>
                  <a:p>
                    <a:r>
                      <a:rPr lang="en-US" sz="1100" b="1" i="0">
                        <a:solidFill>
                          <a:schemeClr val="bg1"/>
                        </a:solidFill>
                      </a:rPr>
                      <a:t>İNGİLTERE; 23,6</a:t>
                    </a:r>
                  </a:p>
                </c:rich>
              </c:tx>
              <c:showLegendKey val="0"/>
              <c:showVal val="1"/>
              <c:showCatName val="1"/>
              <c:showSerName val="0"/>
              <c:showPercent val="0"/>
              <c:showBubbleSize val="0"/>
            </c:dLbl>
            <c:dLbl>
              <c:idx val="1"/>
              <c:tx>
                <c:rich>
                  <a:bodyPr/>
                  <a:lstStyle/>
                  <a:p>
                    <a:r>
                      <a:rPr lang="en-US" sz="1100" b="1" i="0">
                        <a:solidFill>
                          <a:schemeClr val="bg1"/>
                        </a:solidFill>
                      </a:rPr>
                      <a:t>ALMANYA; 16,2</a:t>
                    </a:r>
                  </a:p>
                </c:rich>
              </c:tx>
              <c:showLegendKey val="0"/>
              <c:showVal val="1"/>
              <c:showCatName val="1"/>
              <c:showSerName val="0"/>
              <c:showPercent val="0"/>
              <c:showBubbleSize val="0"/>
            </c:dLbl>
            <c:dLbl>
              <c:idx val="2"/>
              <c:tx>
                <c:rich>
                  <a:bodyPr/>
                  <a:lstStyle/>
                  <a:p>
                    <a:r>
                      <a:rPr lang="en-US" sz="1100" b="1">
                        <a:solidFill>
                          <a:schemeClr val="bg1"/>
                        </a:solidFill>
                      </a:rPr>
                      <a:t>FRANSA; 15,7</a:t>
                    </a:r>
                  </a:p>
                </c:rich>
              </c:tx>
              <c:showLegendKey val="0"/>
              <c:showVal val="1"/>
              <c:showCatName val="1"/>
              <c:showSerName val="0"/>
              <c:showPercent val="0"/>
              <c:showBubbleSize val="0"/>
            </c:dLbl>
            <c:dLbl>
              <c:idx val="4"/>
              <c:layout>
                <c:manualLayout>
                  <c:x val="1.8016657859641174E-3"/>
                  <c:y val="-5.1549389394174278E-2"/>
                </c:manualLayout>
              </c:layout>
              <c:showLegendKey val="0"/>
              <c:showVal val="1"/>
              <c:showCatName val="1"/>
              <c:showSerName val="0"/>
              <c:showPercent val="0"/>
              <c:showBubbleSize val="0"/>
            </c:dLbl>
            <c:dLbl>
              <c:idx val="5"/>
              <c:layout>
                <c:manualLayout>
                  <c:x val="1.6473909946212058E-3"/>
                  <c:y val="-8.88080334364892E-2"/>
                </c:manualLayout>
              </c:layout>
              <c:tx>
                <c:rich>
                  <a:bodyPr/>
                  <a:lstStyle/>
                  <a:p>
                    <a:r>
                      <a:rPr lang="en-US" b="0">
                        <a:solidFill>
                          <a:schemeClr val="tx1"/>
                        </a:solidFill>
                      </a:rPr>
                      <a:t>HOLLANDA; 4,3</a:t>
                    </a:r>
                  </a:p>
                </c:rich>
              </c:tx>
              <c:showLegendKey val="0"/>
              <c:showVal val="1"/>
              <c:showCatName val="1"/>
              <c:showSerName val="0"/>
              <c:showPercent val="0"/>
              <c:showBubbleSize val="0"/>
            </c:dLbl>
            <c:dLbl>
              <c:idx val="7"/>
              <c:layout>
                <c:manualLayout>
                  <c:x val="8.8712343458375741E-4"/>
                  <c:y val="-7.6405373650674152E-2"/>
                </c:manualLayout>
              </c:layout>
              <c:showLegendKey val="0"/>
              <c:showVal val="1"/>
              <c:showCatName val="1"/>
              <c:showSerName val="0"/>
              <c:showPercent val="0"/>
              <c:showBubbleSize val="0"/>
            </c:dLbl>
            <c:dLbl>
              <c:idx val="8"/>
              <c:layout>
                <c:manualLayout>
                  <c:x val="1.9532333931169842E-2"/>
                  <c:y val="-0.10836652925706573"/>
                </c:manualLayout>
              </c:layout>
              <c:showLegendKey val="0"/>
              <c:showVal val="1"/>
              <c:showCatName val="1"/>
              <c:showSerName val="0"/>
              <c:showPercent val="0"/>
              <c:showBubbleSize val="0"/>
            </c:dLbl>
            <c:dLbl>
              <c:idx val="9"/>
              <c:tx>
                <c:rich>
                  <a:bodyPr/>
                  <a:lstStyle/>
                  <a:p>
                    <a:r>
                      <a:rPr lang="en-US" b="0">
                        <a:solidFill>
                          <a:schemeClr val="tx1"/>
                        </a:solidFill>
                      </a:rPr>
                      <a:t>RUSYA; 2,6</a:t>
                    </a:r>
                  </a:p>
                </c:rich>
              </c:tx>
              <c:showLegendKey val="0"/>
              <c:showVal val="1"/>
              <c:showCatName val="1"/>
              <c:showSerName val="0"/>
              <c:showPercent val="0"/>
              <c:showBubbleSize val="0"/>
            </c:dLbl>
            <c:dLbl>
              <c:idx val="11"/>
              <c:layout>
                <c:manualLayout>
                  <c:x val="4.0897049776613917E-2"/>
                  <c:y val="-0.18505468894774682"/>
                </c:manualLayout>
              </c:layout>
              <c:showLegendKey val="0"/>
              <c:showVal val="1"/>
              <c:showCatName val="1"/>
              <c:showSerName val="0"/>
              <c:showPercent val="0"/>
              <c:showBubbleSize val="0"/>
            </c:dLbl>
            <c:dLbl>
              <c:idx val="12"/>
              <c:layout>
                <c:manualLayout>
                  <c:x val="4.7740151966743282E-3"/>
                  <c:y val="-0.11433973039228509"/>
                </c:manualLayout>
              </c:layout>
              <c:showLegendKey val="0"/>
              <c:showVal val="1"/>
              <c:showCatName val="1"/>
              <c:showSerName val="0"/>
              <c:showPercent val="0"/>
              <c:showBubbleSize val="0"/>
            </c:dLbl>
            <c:dLbl>
              <c:idx val="13"/>
              <c:layout>
                <c:manualLayout>
                  <c:x val="0.15651047428652248"/>
                  <c:y val="-0.10164079234060104"/>
                </c:manualLayout>
              </c:layout>
              <c:showLegendKey val="0"/>
              <c:showVal val="1"/>
              <c:showCatName val="1"/>
              <c:showSerName val="0"/>
              <c:showPercent val="0"/>
              <c:showBubbleSize val="0"/>
            </c:dLbl>
            <c:dLbl>
              <c:idx val="14"/>
              <c:layout>
                <c:manualLayout>
                  <c:x val="6.8491239395777309E-2"/>
                  <c:y val="-9.7138519175894843E-3"/>
                </c:manualLayout>
              </c:layout>
              <c:showLegendKey val="0"/>
              <c:showVal val="1"/>
              <c:showCatName val="1"/>
              <c:showSerName val="0"/>
              <c:showPercent val="0"/>
              <c:showBubbleSize val="0"/>
            </c:dLbl>
            <c:showLegendKey val="0"/>
            <c:showVal val="1"/>
            <c:showCatName val="1"/>
            <c:showSerName val="0"/>
            <c:showPercent val="0"/>
            <c:showBubbleSize val="0"/>
            <c:showLeaderLines val="1"/>
          </c:dLbls>
          <c:cat>
            <c:strRef>
              <c:f>Sayfa1!$A$2:$A$16</c:f>
              <c:strCache>
                <c:ptCount val="15"/>
                <c:pt idx="0">
                  <c:v>İNGİLTERE</c:v>
                </c:pt>
                <c:pt idx="1">
                  <c:v>ALMANYA</c:v>
                </c:pt>
                <c:pt idx="2">
                  <c:v>FRANSA</c:v>
                </c:pt>
                <c:pt idx="3">
                  <c:v>İSKANDİNAV</c:v>
                </c:pt>
                <c:pt idx="4">
                  <c:v>İTALYA</c:v>
                </c:pt>
                <c:pt idx="5">
                  <c:v>HOLLANDA</c:v>
                </c:pt>
                <c:pt idx="6">
                  <c:v>BELÇİKA</c:v>
                </c:pt>
                <c:pt idx="7">
                  <c:v>PORTEKİZ</c:v>
                </c:pt>
                <c:pt idx="8">
                  <c:v>İSVİÇRE</c:v>
                </c:pt>
                <c:pt idx="9">
                  <c:v>RUSYA</c:v>
                </c:pt>
                <c:pt idx="10">
                  <c:v>İRLANDA</c:v>
                </c:pt>
                <c:pt idx="11">
                  <c:v>AVRUPA (DİĞER)</c:v>
                </c:pt>
                <c:pt idx="12">
                  <c:v>ABD</c:v>
                </c:pt>
                <c:pt idx="13">
                  <c:v>AMERİKA (DİĞER)</c:v>
                </c:pt>
                <c:pt idx="14">
                  <c:v>DÜNYA (DİĞER)</c:v>
                </c:pt>
              </c:strCache>
            </c:strRef>
          </c:cat>
          <c:val>
            <c:numRef>
              <c:f>Sayfa1!$B$2:$B$16</c:f>
              <c:numCache>
                <c:formatCode>General</c:formatCode>
                <c:ptCount val="15"/>
                <c:pt idx="0">
                  <c:v>23.6</c:v>
                </c:pt>
                <c:pt idx="1">
                  <c:v>16.2</c:v>
                </c:pt>
                <c:pt idx="2">
                  <c:v>15.7</c:v>
                </c:pt>
                <c:pt idx="3">
                  <c:v>8</c:v>
                </c:pt>
                <c:pt idx="4">
                  <c:v>5.4</c:v>
                </c:pt>
                <c:pt idx="5">
                  <c:v>4.3</c:v>
                </c:pt>
                <c:pt idx="6">
                  <c:v>3.1</c:v>
                </c:pt>
                <c:pt idx="7">
                  <c:v>2.8</c:v>
                </c:pt>
                <c:pt idx="8">
                  <c:v>2.5</c:v>
                </c:pt>
                <c:pt idx="9">
                  <c:v>2.6</c:v>
                </c:pt>
                <c:pt idx="10">
                  <c:v>2.1</c:v>
                </c:pt>
                <c:pt idx="11">
                  <c:v>4.8</c:v>
                </c:pt>
                <c:pt idx="12">
                  <c:v>2</c:v>
                </c:pt>
                <c:pt idx="13">
                  <c:v>3.1</c:v>
                </c:pt>
                <c:pt idx="14">
                  <c:v>3.8</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5564955072531048"/>
          <c:y val="0.14379382391789097"/>
          <c:w val="0.19233779149613522"/>
          <c:h val="0.80057905770787108"/>
        </c:manualLayout>
      </c:layout>
      <c:overlay val="0"/>
    </c:legend>
    <c:plotVisOnly val="1"/>
    <c:dispBlanksAs val="gap"/>
    <c:showDLblsOverMax val="0"/>
  </c:chart>
  <c:spPr>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YURTDIŞI TATİLE ÇIKIŞ DÖNEMLERİNE GÖRE İSPANYOL TURİSTLER</a:t>
            </a:r>
            <a:r>
              <a:rPr lang="tr-TR" sz="1600"/>
              <a:t> (2012)</a:t>
            </a:r>
            <a:endParaRPr lang="en-US" sz="16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Sayfa1!$B$1</c:f>
              <c:strCache>
                <c:ptCount val="1"/>
                <c:pt idx="0">
                  <c:v>YURTDIŞI TATİLE ÇIKIŞ DÖNEMLERİNE GÖRE İSPANYOL TURİSTLER</c:v>
                </c:pt>
              </c:strCache>
            </c:strRef>
          </c:tx>
          <c:explosion val="25"/>
          <c:dLbls>
            <c:dLbl>
              <c:idx val="0"/>
              <c:showLegendKey val="0"/>
              <c:showVal val="0"/>
              <c:showCatName val="1"/>
              <c:showSerName val="0"/>
              <c:showPercent val="1"/>
              <c:showBubbleSize val="0"/>
            </c:dLbl>
            <c:dLbl>
              <c:idx val="1"/>
              <c:showLegendKey val="0"/>
              <c:showVal val="0"/>
              <c:showCatName val="1"/>
              <c:showSerName val="0"/>
              <c:showPercent val="1"/>
              <c:showBubbleSize val="0"/>
            </c:dLbl>
            <c:dLbl>
              <c:idx val="2"/>
              <c:showLegendKey val="0"/>
              <c:showVal val="0"/>
              <c:showCatName val="1"/>
              <c:showSerName val="0"/>
              <c:showPercent val="1"/>
              <c:showBubbleSize val="0"/>
            </c:dLbl>
            <c:dLbl>
              <c:idx val="3"/>
              <c:showLegendKey val="0"/>
              <c:showVal val="0"/>
              <c:showCatName val="1"/>
              <c:showSerName val="0"/>
              <c:showPercent val="1"/>
              <c:showBubbleSize val="0"/>
            </c:dLbl>
            <c:dLbl>
              <c:idx val="4"/>
              <c:showLegendKey val="0"/>
              <c:showVal val="0"/>
              <c:showCatName val="1"/>
              <c:showSerName val="0"/>
              <c:showPercent val="1"/>
              <c:showBubbleSize val="0"/>
            </c:dLbl>
            <c:dLbl>
              <c:idx val="5"/>
              <c:showLegendKey val="0"/>
              <c:showVal val="0"/>
              <c:showCatName val="1"/>
              <c:showSerName val="0"/>
              <c:showPercent val="1"/>
              <c:showBubbleSize val="0"/>
            </c:dLbl>
            <c:txPr>
              <a:bodyPr/>
              <a:lstStyle/>
              <a:p>
                <a:pPr>
                  <a:defRPr b="1"/>
                </a:pPr>
                <a:endParaRPr lang="tr-TR"/>
              </a:p>
            </c:txPr>
            <c:showLegendKey val="0"/>
            <c:showVal val="1"/>
            <c:showCatName val="0"/>
            <c:showSerName val="0"/>
            <c:showPercent val="1"/>
            <c:showBubbleSize val="0"/>
            <c:showLeaderLines val="0"/>
          </c:dLbls>
          <c:cat>
            <c:strRef>
              <c:f>Sayfa1!$A$2:$A$7</c:f>
              <c:strCache>
                <c:ptCount val="6"/>
                <c:pt idx="0">
                  <c:v>PASKALYA</c:v>
                </c:pt>
                <c:pt idx="1">
                  <c:v>YAZ TATİLİ</c:v>
                </c:pt>
                <c:pt idx="2">
                  <c:v>NOEL</c:v>
                </c:pt>
                <c:pt idx="3">
                  <c:v>HAFTASONU</c:v>
                </c:pt>
                <c:pt idx="4">
                  <c:v>UZATILMIŞ HAFTASONU</c:v>
                </c:pt>
                <c:pt idx="5">
                  <c:v>DİĞER</c:v>
                </c:pt>
              </c:strCache>
            </c:strRef>
          </c:cat>
          <c:val>
            <c:numRef>
              <c:f>Sayfa1!$B$2:$B$7</c:f>
              <c:numCache>
                <c:formatCode>General</c:formatCode>
                <c:ptCount val="6"/>
                <c:pt idx="0">
                  <c:v>419210</c:v>
                </c:pt>
                <c:pt idx="1">
                  <c:v>3138481</c:v>
                </c:pt>
                <c:pt idx="2">
                  <c:v>457975</c:v>
                </c:pt>
                <c:pt idx="3">
                  <c:v>2333414</c:v>
                </c:pt>
                <c:pt idx="4">
                  <c:v>400853</c:v>
                </c:pt>
                <c:pt idx="5">
                  <c:v>5435224</c:v>
                </c:pt>
              </c:numCache>
            </c:numRef>
          </c:val>
        </c:ser>
        <c:dLbls>
          <c:showLegendKey val="0"/>
          <c:showVal val="0"/>
          <c:showCatName val="0"/>
          <c:showSerName val="0"/>
          <c:showPercent val="0"/>
          <c:showBubbleSize val="0"/>
          <c:showLeaderLines val="0"/>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TÜRKİYE'YE GELEN İSPANYOL TURİSTİN YILLARA GÖRE DEĞİŞİMİ</c:v>
                </c:pt>
              </c:strCache>
            </c:strRef>
          </c:tx>
          <c:invertIfNegative val="0"/>
          <c:dLbls>
            <c:txPr>
              <a:bodyPr/>
              <a:lstStyle/>
              <a:p>
                <a:pPr>
                  <a:defRPr b="1">
                    <a:solidFill>
                      <a:schemeClr val="tx1">
                        <a:lumMod val="95000"/>
                        <a:lumOff val="5000"/>
                      </a:schemeClr>
                    </a:solidFill>
                  </a:defRPr>
                </a:pPr>
                <a:endParaRPr lang="tr-TR"/>
              </a:p>
            </c:txPr>
            <c:showLegendKey val="0"/>
            <c:showVal val="1"/>
            <c:showCatName val="0"/>
            <c:showSerName val="0"/>
            <c:showPercent val="0"/>
            <c:showBubbleSize val="0"/>
            <c:showLeaderLines val="0"/>
          </c:dLbls>
          <c:cat>
            <c:numRef>
              <c:f>Sayfa1!$A$2:$A$8</c:f>
              <c:numCache>
                <c:formatCode>General</c:formatCode>
                <c:ptCount val="7"/>
                <c:pt idx="0">
                  <c:v>2007</c:v>
                </c:pt>
                <c:pt idx="1">
                  <c:v>2008</c:v>
                </c:pt>
                <c:pt idx="2">
                  <c:v>2009</c:v>
                </c:pt>
                <c:pt idx="3">
                  <c:v>2010</c:v>
                </c:pt>
                <c:pt idx="4">
                  <c:v>2011</c:v>
                </c:pt>
                <c:pt idx="5">
                  <c:v>2012</c:v>
                </c:pt>
                <c:pt idx="6">
                  <c:v>2013</c:v>
                </c:pt>
              </c:numCache>
            </c:numRef>
          </c:cat>
          <c:val>
            <c:numRef>
              <c:f>Sayfa1!$B$2:$B$8</c:f>
              <c:numCache>
                <c:formatCode>General</c:formatCode>
                <c:ptCount val="7"/>
                <c:pt idx="0">
                  <c:v>288358</c:v>
                </c:pt>
                <c:pt idx="1">
                  <c:v>342104</c:v>
                </c:pt>
                <c:pt idx="2">
                  <c:v>376215</c:v>
                </c:pt>
                <c:pt idx="3">
                  <c:v>321325</c:v>
                </c:pt>
                <c:pt idx="4">
                  <c:v>300084</c:v>
                </c:pt>
                <c:pt idx="5">
                  <c:v>278164</c:v>
                </c:pt>
                <c:pt idx="6">
                  <c:v>290422</c:v>
                </c:pt>
              </c:numCache>
            </c:numRef>
          </c:val>
        </c:ser>
        <c:dLbls>
          <c:showLegendKey val="0"/>
          <c:showVal val="0"/>
          <c:showCatName val="0"/>
          <c:showSerName val="0"/>
          <c:showPercent val="0"/>
          <c:showBubbleSize val="0"/>
        </c:dLbls>
        <c:gapWidth val="150"/>
        <c:shape val="box"/>
        <c:axId val="136300032"/>
        <c:axId val="127035648"/>
        <c:axId val="0"/>
      </c:bar3DChart>
      <c:catAx>
        <c:axId val="136300032"/>
        <c:scaling>
          <c:orientation val="minMax"/>
        </c:scaling>
        <c:delete val="0"/>
        <c:axPos val="b"/>
        <c:numFmt formatCode="General" sourceLinked="1"/>
        <c:majorTickMark val="out"/>
        <c:minorTickMark val="none"/>
        <c:tickLblPos val="nextTo"/>
        <c:crossAx val="127035648"/>
        <c:crosses val="autoZero"/>
        <c:auto val="1"/>
        <c:lblAlgn val="ctr"/>
        <c:lblOffset val="100"/>
        <c:noMultiLvlLbl val="0"/>
      </c:catAx>
      <c:valAx>
        <c:axId val="127035648"/>
        <c:scaling>
          <c:orientation val="minMax"/>
        </c:scaling>
        <c:delete val="0"/>
        <c:axPos val="l"/>
        <c:majorGridlines/>
        <c:numFmt formatCode="General" sourceLinked="1"/>
        <c:majorTickMark val="out"/>
        <c:minorTickMark val="none"/>
        <c:tickLblPos val="nextTo"/>
        <c:crossAx val="136300032"/>
        <c:crosses val="autoZero"/>
        <c:crossBetween val="between"/>
      </c:valAx>
    </c:plotArea>
    <c:plotVisOnly val="1"/>
    <c:dispBlanksAs val="gap"/>
    <c:showDLblsOverMax val="0"/>
  </c:chart>
  <c:spPr>
    <a:effectLst>
      <a:outerShdw blurRad="50800" dist="38100" dir="2700000" sx="102000" sy="102000" algn="tl" rotWithShape="0">
        <a:prstClr val="black">
          <a:alpha val="40000"/>
        </a:prstClr>
      </a:outerShdw>
    </a:effectLst>
  </c:spPr>
  <c:externalData r:id="rId1">
    <c:autoUpdate val="0"/>
  </c:externalData>
</c:chartSpace>
</file>

<file path=word/diagrams/_rels/data1.xml.rels><?xml version="1.0" encoding="UTF-8" standalone="yes"?>
<Relationships xmlns="http://schemas.openxmlformats.org/package/2006/relationships"><Relationship Id="rId1" Type="http://schemas.openxmlformats.org/officeDocument/2006/relationships/image" Target="../media/image3.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59B13C-E4EE-4331-BEBD-FCD2B72C54D1}" type="doc">
      <dgm:prSet loTypeId="urn:microsoft.com/office/officeart/2005/8/layout/hList7" loCatId="list" qsTypeId="urn:microsoft.com/office/officeart/2005/8/quickstyle/simple5" qsCatId="simple" csTypeId="urn:microsoft.com/office/officeart/2005/8/colors/accent1_2" csCatId="accent1" phldr="1"/>
      <dgm:spPr/>
      <dgm:t>
        <a:bodyPr/>
        <a:lstStyle/>
        <a:p>
          <a:endParaRPr lang="tr-TR"/>
        </a:p>
      </dgm:t>
    </dgm:pt>
    <dgm:pt modelId="{3B7F1E7F-BFB2-4923-9792-2EDB21E46BF7}">
      <dgm:prSet phldrT="[Metin]"/>
      <dgm:spPr/>
      <dgm:t>
        <a:bodyPr/>
        <a:lstStyle/>
        <a:p>
          <a:r>
            <a:rPr lang="tr-TR"/>
            <a:t>2004</a:t>
          </a:r>
        </a:p>
        <a:p>
          <a:r>
            <a:rPr lang="tr-TR"/>
            <a:t>45,2 milyar</a:t>
          </a:r>
        </a:p>
      </dgm:t>
    </dgm:pt>
    <dgm:pt modelId="{301686D0-71DE-4729-9CA4-4FB6292556FD}" type="parTrans" cxnId="{264E54B3-CFC0-4347-8A3B-F238213A0441}">
      <dgm:prSet/>
      <dgm:spPr/>
      <dgm:t>
        <a:bodyPr/>
        <a:lstStyle/>
        <a:p>
          <a:endParaRPr lang="tr-TR"/>
        </a:p>
      </dgm:t>
    </dgm:pt>
    <dgm:pt modelId="{147050FE-7E52-45F6-81C8-E67F01BE9AAF}" type="sibTrans" cxnId="{264E54B3-CFC0-4347-8A3B-F238213A0441}">
      <dgm:prSet/>
      <dgm:spPr/>
      <dgm:t>
        <a:bodyPr/>
        <a:lstStyle/>
        <a:p>
          <a:endParaRPr lang="tr-TR"/>
        </a:p>
      </dgm:t>
    </dgm:pt>
    <dgm:pt modelId="{3EB6C1AB-F4F3-4EDC-9C34-6304B961A2FD}">
      <dgm:prSet phldrT="[Metin]"/>
      <dgm:spPr/>
      <dgm:t>
        <a:bodyPr/>
        <a:lstStyle/>
        <a:p>
          <a:r>
            <a:rPr lang="tr-TR"/>
            <a:t>2009</a:t>
          </a:r>
        </a:p>
        <a:p>
          <a:r>
            <a:rPr lang="tr-TR"/>
            <a:t>53,2 milyar</a:t>
          </a:r>
        </a:p>
      </dgm:t>
    </dgm:pt>
    <dgm:pt modelId="{2CB4790D-B296-4C57-A5FB-6BA6D5B3B76D}" type="parTrans" cxnId="{1AEA6142-4DBE-4AED-814B-1C36C3223F26}">
      <dgm:prSet/>
      <dgm:spPr/>
      <dgm:t>
        <a:bodyPr/>
        <a:lstStyle/>
        <a:p>
          <a:endParaRPr lang="tr-TR"/>
        </a:p>
      </dgm:t>
    </dgm:pt>
    <dgm:pt modelId="{9A38E07B-9938-4A6E-90D2-E74D23D1240D}" type="sibTrans" cxnId="{1AEA6142-4DBE-4AED-814B-1C36C3223F26}">
      <dgm:prSet/>
      <dgm:spPr/>
      <dgm:t>
        <a:bodyPr/>
        <a:lstStyle/>
        <a:p>
          <a:endParaRPr lang="tr-TR"/>
        </a:p>
      </dgm:t>
    </dgm:pt>
    <dgm:pt modelId="{0F84931C-AC39-430A-8EFA-9F0091A5216D}">
      <dgm:prSet phldrT="[Metin]"/>
      <dgm:spPr/>
      <dgm:t>
        <a:bodyPr/>
        <a:lstStyle/>
        <a:p>
          <a:r>
            <a:rPr lang="tr-TR"/>
            <a:t>2012</a:t>
          </a:r>
        </a:p>
        <a:p>
          <a:r>
            <a:rPr lang="tr-TR"/>
            <a:t>55,9 milyar</a:t>
          </a:r>
        </a:p>
      </dgm:t>
    </dgm:pt>
    <dgm:pt modelId="{C7CFCE07-4F01-463A-8931-0B55CAE7E3F0}" type="parTrans" cxnId="{BAF6D2FD-2A8A-41AA-A57F-40C1F8146182}">
      <dgm:prSet/>
      <dgm:spPr/>
      <dgm:t>
        <a:bodyPr/>
        <a:lstStyle/>
        <a:p>
          <a:endParaRPr lang="tr-TR"/>
        </a:p>
      </dgm:t>
    </dgm:pt>
    <dgm:pt modelId="{22308D6F-81B8-41D0-B4F0-0A42AD306A28}" type="sibTrans" cxnId="{BAF6D2FD-2A8A-41AA-A57F-40C1F8146182}">
      <dgm:prSet/>
      <dgm:spPr/>
      <dgm:t>
        <a:bodyPr/>
        <a:lstStyle/>
        <a:p>
          <a:endParaRPr lang="tr-TR"/>
        </a:p>
      </dgm:t>
    </dgm:pt>
    <dgm:pt modelId="{7E3BA2A2-D5D5-46D5-B15C-397CDCA5BF23}" type="pres">
      <dgm:prSet presAssocID="{5F59B13C-E4EE-4331-BEBD-FCD2B72C54D1}" presName="Name0" presStyleCnt="0">
        <dgm:presLayoutVars>
          <dgm:dir/>
          <dgm:resizeHandles val="exact"/>
        </dgm:presLayoutVars>
      </dgm:prSet>
      <dgm:spPr/>
      <dgm:t>
        <a:bodyPr/>
        <a:lstStyle/>
        <a:p>
          <a:endParaRPr lang="tr-TR"/>
        </a:p>
      </dgm:t>
    </dgm:pt>
    <dgm:pt modelId="{FDF5578A-E35F-4084-8228-98332ABCE941}" type="pres">
      <dgm:prSet presAssocID="{5F59B13C-E4EE-4331-BEBD-FCD2B72C54D1}" presName="fgShape" presStyleLbl="fgShp" presStyleIdx="0" presStyleCnt="1"/>
      <dgm:spPr/>
      <dgm:extLst>
        <a:ext uri="{E40237B7-FDA0-4F09-8148-C483321AD2D9}">
          <dgm14:cNvPr xmlns:dgm14="http://schemas.microsoft.com/office/drawing/2010/diagram" id="0" name="" descr="İSPANYA'NIN TURİZM GELİRİ"/>
        </a:ext>
      </dgm:extLst>
    </dgm:pt>
    <dgm:pt modelId="{9A02CFEF-F023-4B12-8D42-C31BCBDA8B3F}" type="pres">
      <dgm:prSet presAssocID="{5F59B13C-E4EE-4331-BEBD-FCD2B72C54D1}" presName="linComp" presStyleCnt="0"/>
      <dgm:spPr/>
    </dgm:pt>
    <dgm:pt modelId="{67FDF6B4-2EBF-4646-9FAD-AFD64BEF1105}" type="pres">
      <dgm:prSet presAssocID="{3B7F1E7F-BFB2-4923-9792-2EDB21E46BF7}" presName="compNode" presStyleCnt="0"/>
      <dgm:spPr/>
    </dgm:pt>
    <dgm:pt modelId="{DD7871E8-45A4-4E5C-B3A4-28215DE3E960}" type="pres">
      <dgm:prSet presAssocID="{3B7F1E7F-BFB2-4923-9792-2EDB21E46BF7}" presName="bkgdShape" presStyleLbl="node1" presStyleIdx="0" presStyleCnt="3"/>
      <dgm:spPr/>
      <dgm:t>
        <a:bodyPr/>
        <a:lstStyle/>
        <a:p>
          <a:endParaRPr lang="tr-TR"/>
        </a:p>
      </dgm:t>
    </dgm:pt>
    <dgm:pt modelId="{327AAE71-F00F-4444-B538-743FA1F442F2}" type="pres">
      <dgm:prSet presAssocID="{3B7F1E7F-BFB2-4923-9792-2EDB21E46BF7}" presName="nodeTx" presStyleLbl="node1" presStyleIdx="0" presStyleCnt="3">
        <dgm:presLayoutVars>
          <dgm:bulletEnabled val="1"/>
        </dgm:presLayoutVars>
      </dgm:prSet>
      <dgm:spPr/>
      <dgm:t>
        <a:bodyPr/>
        <a:lstStyle/>
        <a:p>
          <a:endParaRPr lang="tr-TR"/>
        </a:p>
      </dgm:t>
    </dgm:pt>
    <dgm:pt modelId="{CEF33F68-205B-4981-92E3-D2378F69D41F}" type="pres">
      <dgm:prSet presAssocID="{3B7F1E7F-BFB2-4923-9792-2EDB21E46BF7}" presName="invisiNode" presStyleLbl="node1" presStyleIdx="0" presStyleCnt="3"/>
      <dgm:spPr/>
    </dgm:pt>
    <dgm:pt modelId="{38A588A2-5FA1-49C1-9EBB-BFE57460EA34}" type="pres">
      <dgm:prSet presAssocID="{3B7F1E7F-BFB2-4923-9792-2EDB21E46BF7}" presName="imagNode"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t>
        <a:bodyPr/>
        <a:lstStyle/>
        <a:p>
          <a:endParaRPr lang="tr-TR"/>
        </a:p>
      </dgm:t>
    </dgm:pt>
    <dgm:pt modelId="{A1A85FE8-2992-4F6D-B560-D8A392E1B1B6}" type="pres">
      <dgm:prSet presAssocID="{147050FE-7E52-45F6-81C8-E67F01BE9AAF}" presName="sibTrans" presStyleLbl="sibTrans2D1" presStyleIdx="0" presStyleCnt="0"/>
      <dgm:spPr/>
      <dgm:t>
        <a:bodyPr/>
        <a:lstStyle/>
        <a:p>
          <a:endParaRPr lang="tr-TR"/>
        </a:p>
      </dgm:t>
    </dgm:pt>
    <dgm:pt modelId="{723873FE-A2A8-4785-AB20-B7B33E91D937}" type="pres">
      <dgm:prSet presAssocID="{3EB6C1AB-F4F3-4EDC-9C34-6304B961A2FD}" presName="compNode" presStyleCnt="0"/>
      <dgm:spPr/>
    </dgm:pt>
    <dgm:pt modelId="{33553E30-748A-4C73-B12E-4ABD2ACE38E1}" type="pres">
      <dgm:prSet presAssocID="{3EB6C1AB-F4F3-4EDC-9C34-6304B961A2FD}" presName="bkgdShape" presStyleLbl="node1" presStyleIdx="1" presStyleCnt="3"/>
      <dgm:spPr/>
      <dgm:t>
        <a:bodyPr/>
        <a:lstStyle/>
        <a:p>
          <a:endParaRPr lang="tr-TR"/>
        </a:p>
      </dgm:t>
    </dgm:pt>
    <dgm:pt modelId="{25DD2398-2A78-4CE0-97E9-30024E056DAD}" type="pres">
      <dgm:prSet presAssocID="{3EB6C1AB-F4F3-4EDC-9C34-6304B961A2FD}" presName="nodeTx" presStyleLbl="node1" presStyleIdx="1" presStyleCnt="3">
        <dgm:presLayoutVars>
          <dgm:bulletEnabled val="1"/>
        </dgm:presLayoutVars>
      </dgm:prSet>
      <dgm:spPr/>
      <dgm:t>
        <a:bodyPr/>
        <a:lstStyle/>
        <a:p>
          <a:endParaRPr lang="tr-TR"/>
        </a:p>
      </dgm:t>
    </dgm:pt>
    <dgm:pt modelId="{1C70B079-264A-4BCC-B1CE-C7CD20008E80}" type="pres">
      <dgm:prSet presAssocID="{3EB6C1AB-F4F3-4EDC-9C34-6304B961A2FD}" presName="invisiNode" presStyleLbl="node1" presStyleIdx="1" presStyleCnt="3"/>
      <dgm:spPr/>
    </dgm:pt>
    <dgm:pt modelId="{6012D735-0D89-44BF-9885-997683D3B3B6}" type="pres">
      <dgm:prSet presAssocID="{3EB6C1AB-F4F3-4EDC-9C34-6304B961A2FD}" presName="imagNode" presStyleLbl="fgImgPlace1" presStyleIdx="1"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t>
        <a:bodyPr/>
        <a:lstStyle/>
        <a:p>
          <a:endParaRPr lang="tr-TR"/>
        </a:p>
      </dgm:t>
    </dgm:pt>
    <dgm:pt modelId="{B9858DBC-59CC-4184-BF2A-AEBEF51AA4E3}" type="pres">
      <dgm:prSet presAssocID="{9A38E07B-9938-4A6E-90D2-E74D23D1240D}" presName="sibTrans" presStyleLbl="sibTrans2D1" presStyleIdx="0" presStyleCnt="0"/>
      <dgm:spPr/>
      <dgm:t>
        <a:bodyPr/>
        <a:lstStyle/>
        <a:p>
          <a:endParaRPr lang="tr-TR"/>
        </a:p>
      </dgm:t>
    </dgm:pt>
    <dgm:pt modelId="{FD6900BF-7773-46A6-A126-D2DEF0392985}" type="pres">
      <dgm:prSet presAssocID="{0F84931C-AC39-430A-8EFA-9F0091A5216D}" presName="compNode" presStyleCnt="0"/>
      <dgm:spPr/>
    </dgm:pt>
    <dgm:pt modelId="{9CA115BB-1CD3-4F33-958F-764A4BC22EBB}" type="pres">
      <dgm:prSet presAssocID="{0F84931C-AC39-430A-8EFA-9F0091A5216D}" presName="bkgdShape" presStyleLbl="node1" presStyleIdx="2" presStyleCnt="3"/>
      <dgm:spPr/>
      <dgm:t>
        <a:bodyPr/>
        <a:lstStyle/>
        <a:p>
          <a:endParaRPr lang="tr-TR"/>
        </a:p>
      </dgm:t>
    </dgm:pt>
    <dgm:pt modelId="{90730845-2FDB-4833-A80E-1AFDA30831C6}" type="pres">
      <dgm:prSet presAssocID="{0F84931C-AC39-430A-8EFA-9F0091A5216D}" presName="nodeTx" presStyleLbl="node1" presStyleIdx="2" presStyleCnt="3">
        <dgm:presLayoutVars>
          <dgm:bulletEnabled val="1"/>
        </dgm:presLayoutVars>
      </dgm:prSet>
      <dgm:spPr/>
      <dgm:t>
        <a:bodyPr/>
        <a:lstStyle/>
        <a:p>
          <a:endParaRPr lang="tr-TR"/>
        </a:p>
      </dgm:t>
    </dgm:pt>
    <dgm:pt modelId="{B2F413A7-F774-4DBC-99FD-75AA587CCE32}" type="pres">
      <dgm:prSet presAssocID="{0F84931C-AC39-430A-8EFA-9F0091A5216D}" presName="invisiNode" presStyleLbl="node1" presStyleIdx="2" presStyleCnt="3"/>
      <dgm:spPr/>
    </dgm:pt>
    <dgm:pt modelId="{931C629B-01A7-4A57-A534-D06DC7FA5674}" type="pres">
      <dgm:prSet presAssocID="{0F84931C-AC39-430A-8EFA-9F0091A5216D}" presName="imagNode" presStyleLbl="fgImgPlace1" presStyleIdx="2"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t>
        <a:bodyPr/>
        <a:lstStyle/>
        <a:p>
          <a:endParaRPr lang="tr-TR"/>
        </a:p>
      </dgm:t>
    </dgm:pt>
  </dgm:ptLst>
  <dgm:cxnLst>
    <dgm:cxn modelId="{B05654CD-0CF7-435A-9CAA-B4C71B765D09}" type="presOf" srcId="{3B7F1E7F-BFB2-4923-9792-2EDB21E46BF7}" destId="{327AAE71-F00F-4444-B538-743FA1F442F2}" srcOrd="1" destOrd="0" presId="urn:microsoft.com/office/officeart/2005/8/layout/hList7"/>
    <dgm:cxn modelId="{ED5CD4F3-8473-465C-86AE-466B9417662C}" type="presOf" srcId="{5F59B13C-E4EE-4331-BEBD-FCD2B72C54D1}" destId="{7E3BA2A2-D5D5-46D5-B15C-397CDCA5BF23}" srcOrd="0" destOrd="0" presId="urn:microsoft.com/office/officeart/2005/8/layout/hList7"/>
    <dgm:cxn modelId="{01706BD9-CF12-472A-BE12-0941F791507E}" type="presOf" srcId="{147050FE-7E52-45F6-81C8-E67F01BE9AAF}" destId="{A1A85FE8-2992-4F6D-B560-D8A392E1B1B6}" srcOrd="0" destOrd="0" presId="urn:microsoft.com/office/officeart/2005/8/layout/hList7"/>
    <dgm:cxn modelId="{17FC408A-7637-4B68-A95D-CFE51D688291}" type="presOf" srcId="{3EB6C1AB-F4F3-4EDC-9C34-6304B961A2FD}" destId="{33553E30-748A-4C73-B12E-4ABD2ACE38E1}" srcOrd="0" destOrd="0" presId="urn:microsoft.com/office/officeart/2005/8/layout/hList7"/>
    <dgm:cxn modelId="{BAF6D2FD-2A8A-41AA-A57F-40C1F8146182}" srcId="{5F59B13C-E4EE-4331-BEBD-FCD2B72C54D1}" destId="{0F84931C-AC39-430A-8EFA-9F0091A5216D}" srcOrd="2" destOrd="0" parTransId="{C7CFCE07-4F01-463A-8931-0B55CAE7E3F0}" sibTransId="{22308D6F-81B8-41D0-B4F0-0A42AD306A28}"/>
    <dgm:cxn modelId="{264E54B3-CFC0-4347-8A3B-F238213A0441}" srcId="{5F59B13C-E4EE-4331-BEBD-FCD2B72C54D1}" destId="{3B7F1E7F-BFB2-4923-9792-2EDB21E46BF7}" srcOrd="0" destOrd="0" parTransId="{301686D0-71DE-4729-9CA4-4FB6292556FD}" sibTransId="{147050FE-7E52-45F6-81C8-E67F01BE9AAF}"/>
    <dgm:cxn modelId="{343BCC07-760F-47AF-811C-C3ECAF0FA40B}" type="presOf" srcId="{0F84931C-AC39-430A-8EFA-9F0091A5216D}" destId="{90730845-2FDB-4833-A80E-1AFDA30831C6}" srcOrd="1" destOrd="0" presId="urn:microsoft.com/office/officeart/2005/8/layout/hList7"/>
    <dgm:cxn modelId="{47675914-EAE1-44CC-9BE9-1DBF9B13D606}" type="presOf" srcId="{0F84931C-AC39-430A-8EFA-9F0091A5216D}" destId="{9CA115BB-1CD3-4F33-958F-764A4BC22EBB}" srcOrd="0" destOrd="0" presId="urn:microsoft.com/office/officeart/2005/8/layout/hList7"/>
    <dgm:cxn modelId="{EF30F8E4-DBAA-4C0E-9C98-AB5FAEEA8BE9}" type="presOf" srcId="{3EB6C1AB-F4F3-4EDC-9C34-6304B961A2FD}" destId="{25DD2398-2A78-4CE0-97E9-30024E056DAD}" srcOrd="1" destOrd="0" presId="urn:microsoft.com/office/officeart/2005/8/layout/hList7"/>
    <dgm:cxn modelId="{0C912B47-A873-4EA2-8B60-BFB7BAEA13D1}" type="presOf" srcId="{3B7F1E7F-BFB2-4923-9792-2EDB21E46BF7}" destId="{DD7871E8-45A4-4E5C-B3A4-28215DE3E960}" srcOrd="0" destOrd="0" presId="urn:microsoft.com/office/officeart/2005/8/layout/hList7"/>
    <dgm:cxn modelId="{A44668A1-2815-4B22-986C-FF89FC580FBE}" type="presOf" srcId="{9A38E07B-9938-4A6E-90D2-E74D23D1240D}" destId="{B9858DBC-59CC-4184-BF2A-AEBEF51AA4E3}" srcOrd="0" destOrd="0" presId="urn:microsoft.com/office/officeart/2005/8/layout/hList7"/>
    <dgm:cxn modelId="{1AEA6142-4DBE-4AED-814B-1C36C3223F26}" srcId="{5F59B13C-E4EE-4331-BEBD-FCD2B72C54D1}" destId="{3EB6C1AB-F4F3-4EDC-9C34-6304B961A2FD}" srcOrd="1" destOrd="0" parTransId="{2CB4790D-B296-4C57-A5FB-6BA6D5B3B76D}" sibTransId="{9A38E07B-9938-4A6E-90D2-E74D23D1240D}"/>
    <dgm:cxn modelId="{F29C65FF-F2A7-4C45-ABE2-DBD4F3AFA973}" type="presParOf" srcId="{7E3BA2A2-D5D5-46D5-B15C-397CDCA5BF23}" destId="{FDF5578A-E35F-4084-8228-98332ABCE941}" srcOrd="0" destOrd="0" presId="urn:microsoft.com/office/officeart/2005/8/layout/hList7"/>
    <dgm:cxn modelId="{F3DE85E1-6BE7-4F2D-BA36-34C08A705288}" type="presParOf" srcId="{7E3BA2A2-D5D5-46D5-B15C-397CDCA5BF23}" destId="{9A02CFEF-F023-4B12-8D42-C31BCBDA8B3F}" srcOrd="1" destOrd="0" presId="urn:microsoft.com/office/officeart/2005/8/layout/hList7"/>
    <dgm:cxn modelId="{2EF004EF-46B6-47FB-BD13-4B0148D03BF5}" type="presParOf" srcId="{9A02CFEF-F023-4B12-8D42-C31BCBDA8B3F}" destId="{67FDF6B4-2EBF-4646-9FAD-AFD64BEF1105}" srcOrd="0" destOrd="0" presId="urn:microsoft.com/office/officeart/2005/8/layout/hList7"/>
    <dgm:cxn modelId="{F17B0274-A918-4CF3-846E-5C8494494DBD}" type="presParOf" srcId="{67FDF6B4-2EBF-4646-9FAD-AFD64BEF1105}" destId="{DD7871E8-45A4-4E5C-B3A4-28215DE3E960}" srcOrd="0" destOrd="0" presId="urn:microsoft.com/office/officeart/2005/8/layout/hList7"/>
    <dgm:cxn modelId="{DA730472-63D7-4B0D-A676-F06520D8DAA6}" type="presParOf" srcId="{67FDF6B4-2EBF-4646-9FAD-AFD64BEF1105}" destId="{327AAE71-F00F-4444-B538-743FA1F442F2}" srcOrd="1" destOrd="0" presId="urn:microsoft.com/office/officeart/2005/8/layout/hList7"/>
    <dgm:cxn modelId="{ABEBD960-9DA8-48D6-A678-FBE5ADFFD9EF}" type="presParOf" srcId="{67FDF6B4-2EBF-4646-9FAD-AFD64BEF1105}" destId="{CEF33F68-205B-4981-92E3-D2378F69D41F}" srcOrd="2" destOrd="0" presId="urn:microsoft.com/office/officeart/2005/8/layout/hList7"/>
    <dgm:cxn modelId="{C0ED292F-5B39-42A7-AE79-6DBB3C75669E}" type="presParOf" srcId="{67FDF6B4-2EBF-4646-9FAD-AFD64BEF1105}" destId="{38A588A2-5FA1-49C1-9EBB-BFE57460EA34}" srcOrd="3" destOrd="0" presId="urn:microsoft.com/office/officeart/2005/8/layout/hList7"/>
    <dgm:cxn modelId="{E27A3E24-2155-495E-8C66-E887399FF43B}" type="presParOf" srcId="{9A02CFEF-F023-4B12-8D42-C31BCBDA8B3F}" destId="{A1A85FE8-2992-4F6D-B560-D8A392E1B1B6}" srcOrd="1" destOrd="0" presId="urn:microsoft.com/office/officeart/2005/8/layout/hList7"/>
    <dgm:cxn modelId="{A7AB70BA-3E83-40C2-AF2F-6381D7853E06}" type="presParOf" srcId="{9A02CFEF-F023-4B12-8D42-C31BCBDA8B3F}" destId="{723873FE-A2A8-4785-AB20-B7B33E91D937}" srcOrd="2" destOrd="0" presId="urn:microsoft.com/office/officeart/2005/8/layout/hList7"/>
    <dgm:cxn modelId="{ADE5CF00-E931-4027-9FF5-78C7518928F7}" type="presParOf" srcId="{723873FE-A2A8-4785-AB20-B7B33E91D937}" destId="{33553E30-748A-4C73-B12E-4ABD2ACE38E1}" srcOrd="0" destOrd="0" presId="urn:microsoft.com/office/officeart/2005/8/layout/hList7"/>
    <dgm:cxn modelId="{C482E72A-2FE5-413D-AF49-0FE13692FB21}" type="presParOf" srcId="{723873FE-A2A8-4785-AB20-B7B33E91D937}" destId="{25DD2398-2A78-4CE0-97E9-30024E056DAD}" srcOrd="1" destOrd="0" presId="urn:microsoft.com/office/officeart/2005/8/layout/hList7"/>
    <dgm:cxn modelId="{A943F25A-7FF8-4683-86A9-6A81C919525A}" type="presParOf" srcId="{723873FE-A2A8-4785-AB20-B7B33E91D937}" destId="{1C70B079-264A-4BCC-B1CE-C7CD20008E80}" srcOrd="2" destOrd="0" presId="urn:microsoft.com/office/officeart/2005/8/layout/hList7"/>
    <dgm:cxn modelId="{2AAF8FE3-05D7-4C2F-995B-6EE594AC90CF}" type="presParOf" srcId="{723873FE-A2A8-4785-AB20-B7B33E91D937}" destId="{6012D735-0D89-44BF-9885-997683D3B3B6}" srcOrd="3" destOrd="0" presId="urn:microsoft.com/office/officeart/2005/8/layout/hList7"/>
    <dgm:cxn modelId="{685418A1-1001-497E-9D61-964A4CA1B20F}" type="presParOf" srcId="{9A02CFEF-F023-4B12-8D42-C31BCBDA8B3F}" destId="{B9858DBC-59CC-4184-BF2A-AEBEF51AA4E3}" srcOrd="3" destOrd="0" presId="urn:microsoft.com/office/officeart/2005/8/layout/hList7"/>
    <dgm:cxn modelId="{56286D65-15AB-4394-BAF7-AC587BD3C0EE}" type="presParOf" srcId="{9A02CFEF-F023-4B12-8D42-C31BCBDA8B3F}" destId="{FD6900BF-7773-46A6-A126-D2DEF0392985}" srcOrd="4" destOrd="0" presId="urn:microsoft.com/office/officeart/2005/8/layout/hList7"/>
    <dgm:cxn modelId="{D0CE12B6-2A99-4A0D-8868-B98A2267C80B}" type="presParOf" srcId="{FD6900BF-7773-46A6-A126-D2DEF0392985}" destId="{9CA115BB-1CD3-4F33-958F-764A4BC22EBB}" srcOrd="0" destOrd="0" presId="urn:microsoft.com/office/officeart/2005/8/layout/hList7"/>
    <dgm:cxn modelId="{482D7A30-5C14-4555-9F6F-ED8F62370F3E}" type="presParOf" srcId="{FD6900BF-7773-46A6-A126-D2DEF0392985}" destId="{90730845-2FDB-4833-A80E-1AFDA30831C6}" srcOrd="1" destOrd="0" presId="urn:microsoft.com/office/officeart/2005/8/layout/hList7"/>
    <dgm:cxn modelId="{E35612CE-CF28-4443-82C4-61282C0EC1C5}" type="presParOf" srcId="{FD6900BF-7773-46A6-A126-D2DEF0392985}" destId="{B2F413A7-F774-4DBC-99FD-75AA587CCE32}" srcOrd="2" destOrd="0" presId="urn:microsoft.com/office/officeart/2005/8/layout/hList7"/>
    <dgm:cxn modelId="{693A714A-CE7A-41CA-84EF-E1A2FDF5570B}" type="presParOf" srcId="{FD6900BF-7773-46A6-A126-D2DEF0392985}" destId="{931C629B-01A7-4A57-A534-D06DC7FA5674}" srcOrd="3" destOrd="0" presId="urn:microsoft.com/office/officeart/2005/8/layout/hList7"/>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7871E8-45A4-4E5C-B3A4-28215DE3E960}">
      <dsp:nvSpPr>
        <dsp:cNvPr id="0" name=""/>
        <dsp:cNvSpPr/>
      </dsp:nvSpPr>
      <dsp:spPr>
        <a:xfrm>
          <a:off x="1171" y="0"/>
          <a:ext cx="1823185" cy="248440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tr-TR" sz="2000" kern="1200"/>
            <a:t>2004</a:t>
          </a:r>
        </a:p>
        <a:p>
          <a:pPr lvl="0" algn="ctr" defTabSz="889000">
            <a:lnSpc>
              <a:spcPct val="90000"/>
            </a:lnSpc>
            <a:spcBef>
              <a:spcPct val="0"/>
            </a:spcBef>
            <a:spcAft>
              <a:spcPct val="35000"/>
            </a:spcAft>
          </a:pPr>
          <a:r>
            <a:rPr lang="tr-TR" sz="2000" kern="1200"/>
            <a:t>45,2 milyar</a:t>
          </a:r>
        </a:p>
      </dsp:txBody>
      <dsp:txXfrm>
        <a:off x="1171" y="993762"/>
        <a:ext cx="1823185" cy="993762"/>
      </dsp:txXfrm>
    </dsp:sp>
    <dsp:sp modelId="{38A588A2-5FA1-49C1-9EBB-BFE57460EA34}">
      <dsp:nvSpPr>
        <dsp:cNvPr id="0" name=""/>
        <dsp:cNvSpPr/>
      </dsp:nvSpPr>
      <dsp:spPr>
        <a:xfrm>
          <a:off x="499110" y="149064"/>
          <a:ext cx="827307" cy="82730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33553E30-748A-4C73-B12E-4ABD2ACE38E1}">
      <dsp:nvSpPr>
        <dsp:cNvPr id="0" name=""/>
        <dsp:cNvSpPr/>
      </dsp:nvSpPr>
      <dsp:spPr>
        <a:xfrm>
          <a:off x="1879052" y="0"/>
          <a:ext cx="1823185" cy="248440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tr-TR" sz="2000" kern="1200"/>
            <a:t>2009</a:t>
          </a:r>
        </a:p>
        <a:p>
          <a:pPr lvl="0" algn="ctr" defTabSz="889000">
            <a:lnSpc>
              <a:spcPct val="90000"/>
            </a:lnSpc>
            <a:spcBef>
              <a:spcPct val="0"/>
            </a:spcBef>
            <a:spcAft>
              <a:spcPct val="35000"/>
            </a:spcAft>
          </a:pPr>
          <a:r>
            <a:rPr lang="tr-TR" sz="2000" kern="1200"/>
            <a:t>53,2 milyar</a:t>
          </a:r>
        </a:p>
      </dsp:txBody>
      <dsp:txXfrm>
        <a:off x="1879052" y="993762"/>
        <a:ext cx="1823185" cy="993762"/>
      </dsp:txXfrm>
    </dsp:sp>
    <dsp:sp modelId="{6012D735-0D89-44BF-9885-997683D3B3B6}">
      <dsp:nvSpPr>
        <dsp:cNvPr id="0" name=""/>
        <dsp:cNvSpPr/>
      </dsp:nvSpPr>
      <dsp:spPr>
        <a:xfrm>
          <a:off x="2376991" y="149064"/>
          <a:ext cx="827307" cy="82730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9CA115BB-1CD3-4F33-958F-764A4BC22EBB}">
      <dsp:nvSpPr>
        <dsp:cNvPr id="0" name=""/>
        <dsp:cNvSpPr/>
      </dsp:nvSpPr>
      <dsp:spPr>
        <a:xfrm>
          <a:off x="3756933" y="0"/>
          <a:ext cx="1823185" cy="248440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tr-TR" sz="2000" kern="1200"/>
            <a:t>2012</a:t>
          </a:r>
        </a:p>
        <a:p>
          <a:pPr lvl="0" algn="ctr" defTabSz="889000">
            <a:lnSpc>
              <a:spcPct val="90000"/>
            </a:lnSpc>
            <a:spcBef>
              <a:spcPct val="0"/>
            </a:spcBef>
            <a:spcAft>
              <a:spcPct val="35000"/>
            </a:spcAft>
          </a:pPr>
          <a:r>
            <a:rPr lang="tr-TR" sz="2000" kern="1200"/>
            <a:t>55,9 milyar</a:t>
          </a:r>
        </a:p>
      </dsp:txBody>
      <dsp:txXfrm>
        <a:off x="3756933" y="993762"/>
        <a:ext cx="1823185" cy="993762"/>
      </dsp:txXfrm>
    </dsp:sp>
    <dsp:sp modelId="{931C629B-01A7-4A57-A534-D06DC7FA5674}">
      <dsp:nvSpPr>
        <dsp:cNvPr id="0" name=""/>
        <dsp:cNvSpPr/>
      </dsp:nvSpPr>
      <dsp:spPr>
        <a:xfrm>
          <a:off x="4254871" y="149064"/>
          <a:ext cx="827307" cy="82730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FDF5578A-E35F-4084-8228-98332ABCE941}">
      <dsp:nvSpPr>
        <dsp:cNvPr id="0" name=""/>
        <dsp:cNvSpPr/>
      </dsp:nvSpPr>
      <dsp:spPr>
        <a:xfrm>
          <a:off x="223251" y="1987525"/>
          <a:ext cx="5134786" cy="372661"/>
        </a:xfrm>
        <a:prstGeom prst="leftRightArrow">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099A4-F097-459A-8F34-1ADD4E1B2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8</Pages>
  <Words>1693</Words>
  <Characters>9651</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18</cp:revision>
  <cp:lastPrinted>2014-01-31T15:42:00Z</cp:lastPrinted>
  <dcterms:created xsi:type="dcterms:W3CDTF">2014-01-29T17:55:00Z</dcterms:created>
  <dcterms:modified xsi:type="dcterms:W3CDTF">2014-01-31T15:44:00Z</dcterms:modified>
</cp:coreProperties>
</file>