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848" w:rsidRDefault="004E4848" w:rsidP="00F55D0E">
      <w:pPr>
        <w:shd w:val="clear" w:color="auto" w:fill="99CCFF"/>
        <w:jc w:val="center"/>
        <w:rPr>
          <w:rFonts w:ascii="Arial" w:hAnsi="Arial" w:cs="Arial"/>
          <w:b/>
        </w:rPr>
      </w:pPr>
    </w:p>
    <w:p w:rsidR="004E4848" w:rsidRDefault="004E4848" w:rsidP="00F55D0E">
      <w:pPr>
        <w:shd w:val="clear" w:color="auto" w:fill="99CCFF"/>
        <w:jc w:val="center"/>
        <w:rPr>
          <w:rFonts w:ascii="Arial" w:hAnsi="Arial" w:cs="Arial"/>
          <w:b/>
        </w:rPr>
      </w:pPr>
      <w:r>
        <w:object w:dxaOrig="7546" w:dyaOrig="34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0.5pt;height:73.5pt" o:ole="">
            <v:imagedata r:id="rId7" o:title=""/>
          </v:shape>
          <o:OLEObject Type="Embed" ProgID="MSPhotoEd.3" ShapeID="_x0000_i1025" DrawAspect="Content" ObjectID="_1456297982" r:id="rId8"/>
        </w:object>
      </w:r>
    </w:p>
    <w:p w:rsidR="004E4848" w:rsidRDefault="002A54C3" w:rsidP="00F55D0E">
      <w:pPr>
        <w:shd w:val="clear" w:color="auto" w:fill="99CCFF"/>
        <w:jc w:val="center"/>
        <w:rPr>
          <w:b/>
          <w:sz w:val="48"/>
          <w:szCs w:val="48"/>
        </w:rPr>
      </w:pPr>
      <w:r>
        <w:rPr>
          <w:b/>
          <w:sz w:val="48"/>
          <w:szCs w:val="48"/>
        </w:rPr>
        <w:t>ITB BERLİN</w:t>
      </w:r>
    </w:p>
    <w:p w:rsidR="004E4848" w:rsidRDefault="004E4848" w:rsidP="00F55D0E">
      <w:pPr>
        <w:shd w:val="clear" w:color="auto" w:fill="99CCFF"/>
        <w:jc w:val="center"/>
        <w:rPr>
          <w:b/>
          <w:sz w:val="48"/>
          <w:szCs w:val="48"/>
        </w:rPr>
      </w:pPr>
      <w:r>
        <w:rPr>
          <w:b/>
          <w:sz w:val="48"/>
          <w:szCs w:val="48"/>
        </w:rPr>
        <w:t>2014</w:t>
      </w:r>
    </w:p>
    <w:p w:rsidR="004E4848" w:rsidRDefault="004E4848" w:rsidP="00F55D0E">
      <w:pPr>
        <w:shd w:val="clear" w:color="auto" w:fill="99CCFF"/>
        <w:jc w:val="center"/>
        <w:rPr>
          <w:b/>
          <w:sz w:val="48"/>
          <w:szCs w:val="48"/>
        </w:rPr>
      </w:pPr>
      <w:r w:rsidRPr="000D3060">
        <w:rPr>
          <w:b/>
          <w:sz w:val="48"/>
          <w:szCs w:val="48"/>
        </w:rPr>
        <w:t xml:space="preserve">TURİZM </w:t>
      </w:r>
      <w:r>
        <w:rPr>
          <w:b/>
          <w:sz w:val="48"/>
          <w:szCs w:val="48"/>
        </w:rPr>
        <w:t>FUARI</w:t>
      </w:r>
    </w:p>
    <w:p w:rsidR="004E4848" w:rsidRDefault="004E4848" w:rsidP="00F55D0E">
      <w:pPr>
        <w:shd w:val="clear" w:color="auto" w:fill="99CCFF"/>
        <w:jc w:val="center"/>
        <w:rPr>
          <w:b/>
          <w:sz w:val="48"/>
          <w:szCs w:val="48"/>
        </w:rPr>
      </w:pPr>
      <w:r>
        <w:rPr>
          <w:b/>
          <w:sz w:val="48"/>
          <w:szCs w:val="48"/>
        </w:rPr>
        <w:t xml:space="preserve">SONUÇ </w:t>
      </w:r>
      <w:r w:rsidRPr="000D3060">
        <w:rPr>
          <w:b/>
          <w:sz w:val="48"/>
          <w:szCs w:val="48"/>
        </w:rPr>
        <w:t>RAPORU</w:t>
      </w:r>
    </w:p>
    <w:p w:rsidR="004E4848" w:rsidRDefault="002A54C3" w:rsidP="00F55D0E">
      <w:pPr>
        <w:shd w:val="clear" w:color="auto" w:fill="99CCFF"/>
        <w:jc w:val="center"/>
        <w:rPr>
          <w:rFonts w:ascii="Arial" w:hAnsi="Arial" w:cs="Arial"/>
          <w:b/>
        </w:rPr>
      </w:pPr>
      <w:r>
        <w:rPr>
          <w:rFonts w:ascii="Arial" w:hAnsi="Arial" w:cs="Arial"/>
          <w:b/>
          <w:noProof/>
          <w:lang w:eastAsia="tr-TR"/>
        </w:rPr>
        <w:drawing>
          <wp:inline distT="0" distB="0" distL="0" distR="0" wp14:anchorId="143D9DD2" wp14:editId="1ADC47A6">
            <wp:extent cx="5098676" cy="2857500"/>
            <wp:effectExtent l="0" t="0" r="6985" b="0"/>
            <wp:docPr id="2" name="Resim 2" descr="C:\Users\fatih.gonul\Desktop\52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fatih.gonul\Desktop\5204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98676" cy="2857500"/>
                    </a:xfrm>
                    <a:prstGeom prst="rect">
                      <a:avLst/>
                    </a:prstGeom>
                    <a:noFill/>
                    <a:ln>
                      <a:noFill/>
                    </a:ln>
                  </pic:spPr>
                </pic:pic>
              </a:graphicData>
            </a:graphic>
          </wp:inline>
        </w:drawing>
      </w:r>
    </w:p>
    <w:p w:rsidR="004E4848" w:rsidRDefault="004E4848" w:rsidP="00F55D0E">
      <w:pPr>
        <w:shd w:val="clear" w:color="auto" w:fill="99CCFF"/>
        <w:jc w:val="center"/>
        <w:rPr>
          <w:rFonts w:ascii="Arial" w:hAnsi="Arial" w:cs="Arial"/>
          <w:b/>
          <w:noProof/>
          <w:lang w:eastAsia="tr-TR"/>
        </w:rPr>
      </w:pPr>
    </w:p>
    <w:p w:rsidR="004E4848" w:rsidRDefault="004E4848" w:rsidP="00F55D0E">
      <w:pPr>
        <w:shd w:val="clear" w:color="auto" w:fill="99CCFF"/>
        <w:jc w:val="center"/>
        <w:rPr>
          <w:rFonts w:ascii="Arial" w:hAnsi="Arial" w:cs="Arial"/>
          <w:b/>
          <w:noProof/>
          <w:lang w:eastAsia="tr-TR"/>
        </w:rPr>
      </w:pPr>
    </w:p>
    <w:p w:rsidR="004E4848" w:rsidRDefault="004E4848" w:rsidP="00F55D0E">
      <w:pPr>
        <w:shd w:val="clear" w:color="auto" w:fill="99CCFF"/>
        <w:jc w:val="center"/>
        <w:rPr>
          <w:rFonts w:ascii="Arial" w:hAnsi="Arial" w:cs="Arial"/>
          <w:b/>
        </w:rPr>
      </w:pPr>
      <w:r w:rsidRPr="0007350A">
        <w:rPr>
          <w:rFonts w:ascii="Arial" w:hAnsi="Arial" w:cs="Arial"/>
          <w:b/>
        </w:rPr>
        <w:object w:dxaOrig="7546" w:dyaOrig="3495">
          <v:shape id="_x0000_i1026" type="#_x0000_t75" style="width:160.5pt;height:73.5pt" o:ole="">
            <v:imagedata r:id="rId7" o:title=""/>
          </v:shape>
          <o:OLEObject Type="Embed" ProgID="MSPhotoEd.3" ShapeID="_x0000_i1026" DrawAspect="Content" ObjectID="_1456297983" r:id="rId10"/>
        </w:object>
      </w:r>
    </w:p>
    <w:p w:rsidR="004E4848" w:rsidRDefault="004E4848" w:rsidP="00F55D0E">
      <w:pPr>
        <w:shd w:val="clear" w:color="auto" w:fill="99CCFF"/>
        <w:jc w:val="center"/>
        <w:rPr>
          <w:b/>
          <w:sz w:val="40"/>
          <w:szCs w:val="40"/>
        </w:rPr>
      </w:pPr>
      <w:r w:rsidRPr="0007350A">
        <w:rPr>
          <w:b/>
          <w:sz w:val="40"/>
          <w:szCs w:val="40"/>
        </w:rPr>
        <w:t>AR-GE BİRİMİ</w:t>
      </w:r>
    </w:p>
    <w:p w:rsidR="004E4848" w:rsidRDefault="004E4848" w:rsidP="00F55D0E">
      <w:pPr>
        <w:shd w:val="clear" w:color="auto" w:fill="99CCFF"/>
        <w:jc w:val="center"/>
        <w:rPr>
          <w:b/>
          <w:sz w:val="40"/>
          <w:szCs w:val="40"/>
        </w:rPr>
      </w:pPr>
    </w:p>
    <w:p w:rsidR="00513237" w:rsidRDefault="00513237" w:rsidP="00F55D0E">
      <w:pPr>
        <w:shd w:val="clear" w:color="auto" w:fill="99CCFF"/>
        <w:jc w:val="center"/>
        <w:rPr>
          <w:b/>
          <w:sz w:val="40"/>
          <w:szCs w:val="40"/>
        </w:rPr>
      </w:pPr>
    </w:p>
    <w:p w:rsidR="00A53E02" w:rsidRDefault="00A53E02" w:rsidP="00F55D0E">
      <w:pPr>
        <w:jc w:val="center"/>
      </w:pPr>
    </w:p>
    <w:p w:rsidR="00A53E02" w:rsidRPr="005C5FC9" w:rsidRDefault="002A54C3" w:rsidP="00F55D0E">
      <w:pPr>
        <w:shd w:val="clear" w:color="auto" w:fill="8DB3E2" w:themeFill="text2" w:themeFillTint="66"/>
        <w:jc w:val="both"/>
        <w:rPr>
          <w:b/>
          <w:sz w:val="32"/>
          <w:szCs w:val="32"/>
        </w:rPr>
      </w:pPr>
      <w:r>
        <w:rPr>
          <w:b/>
          <w:sz w:val="32"/>
          <w:szCs w:val="32"/>
        </w:rPr>
        <w:lastRenderedPageBreak/>
        <w:t>TÜRSAB ITB</w:t>
      </w:r>
      <w:r w:rsidR="00A53E02" w:rsidRPr="005C5FC9">
        <w:rPr>
          <w:b/>
          <w:sz w:val="32"/>
          <w:szCs w:val="32"/>
        </w:rPr>
        <w:t xml:space="preserve"> </w:t>
      </w:r>
      <w:r w:rsidR="00DB5068">
        <w:rPr>
          <w:b/>
          <w:sz w:val="32"/>
          <w:szCs w:val="32"/>
        </w:rPr>
        <w:t>BERLİN</w:t>
      </w:r>
      <w:r w:rsidR="00A53E02" w:rsidRPr="005C5FC9">
        <w:rPr>
          <w:b/>
          <w:sz w:val="32"/>
          <w:szCs w:val="32"/>
        </w:rPr>
        <w:t xml:space="preserve"> 2014 </w:t>
      </w:r>
      <w:r w:rsidR="00BC3C6F">
        <w:rPr>
          <w:b/>
          <w:sz w:val="32"/>
          <w:szCs w:val="32"/>
        </w:rPr>
        <w:t>ULU</w:t>
      </w:r>
      <w:r w:rsidR="00B76E39">
        <w:rPr>
          <w:b/>
          <w:sz w:val="32"/>
          <w:szCs w:val="32"/>
        </w:rPr>
        <w:t>SL</w:t>
      </w:r>
      <w:r w:rsidR="00BC3C6F">
        <w:rPr>
          <w:b/>
          <w:sz w:val="32"/>
          <w:szCs w:val="32"/>
        </w:rPr>
        <w:t xml:space="preserve">ARARASI </w:t>
      </w:r>
      <w:r w:rsidR="00A53E02" w:rsidRPr="005C5FC9">
        <w:rPr>
          <w:b/>
          <w:sz w:val="32"/>
          <w:szCs w:val="32"/>
        </w:rPr>
        <w:t>TURİZM FUAR RAPORU</w:t>
      </w:r>
    </w:p>
    <w:p w:rsidR="00CB66F3" w:rsidRPr="00BC3C6F" w:rsidRDefault="004E4848" w:rsidP="00F55D0E">
      <w:pPr>
        <w:jc w:val="both"/>
        <w:rPr>
          <w:color w:val="FF0000"/>
          <w:sz w:val="24"/>
          <w:szCs w:val="24"/>
        </w:rPr>
      </w:pPr>
      <w:r w:rsidRPr="005C5FC9">
        <w:rPr>
          <w:sz w:val="24"/>
          <w:szCs w:val="24"/>
        </w:rPr>
        <w:t xml:space="preserve">Türkiye Seyahat </w:t>
      </w:r>
      <w:proofErr w:type="spellStart"/>
      <w:r w:rsidRPr="005C5FC9">
        <w:rPr>
          <w:sz w:val="24"/>
          <w:szCs w:val="24"/>
        </w:rPr>
        <w:t>Acentaları</w:t>
      </w:r>
      <w:proofErr w:type="spellEnd"/>
      <w:r w:rsidRPr="005C5FC9">
        <w:rPr>
          <w:sz w:val="24"/>
          <w:szCs w:val="24"/>
        </w:rPr>
        <w:t xml:space="preserve"> Birliği (TÜRSAB) bu yıl </w:t>
      </w:r>
      <w:r w:rsidR="002A54C3">
        <w:rPr>
          <w:sz w:val="24"/>
          <w:szCs w:val="24"/>
        </w:rPr>
        <w:t>5</w:t>
      </w:r>
      <w:r w:rsidRPr="005C5FC9">
        <w:rPr>
          <w:sz w:val="24"/>
          <w:szCs w:val="24"/>
        </w:rPr>
        <w:t>-</w:t>
      </w:r>
      <w:r w:rsidR="002A54C3">
        <w:rPr>
          <w:sz w:val="24"/>
          <w:szCs w:val="24"/>
        </w:rPr>
        <w:t>9</w:t>
      </w:r>
      <w:r w:rsidRPr="005C5FC9">
        <w:rPr>
          <w:sz w:val="24"/>
          <w:szCs w:val="24"/>
        </w:rPr>
        <w:t xml:space="preserve"> </w:t>
      </w:r>
      <w:r w:rsidR="002A54C3">
        <w:rPr>
          <w:sz w:val="24"/>
          <w:szCs w:val="24"/>
        </w:rPr>
        <w:t xml:space="preserve">Mart </w:t>
      </w:r>
      <w:r w:rsidRPr="005C5FC9">
        <w:rPr>
          <w:sz w:val="24"/>
          <w:szCs w:val="24"/>
        </w:rPr>
        <w:t xml:space="preserve">tarihleri arasında </w:t>
      </w:r>
      <w:r w:rsidR="002A54C3">
        <w:rPr>
          <w:sz w:val="24"/>
          <w:szCs w:val="24"/>
        </w:rPr>
        <w:t xml:space="preserve">Almanya’nın başkenti Berlin’de </w:t>
      </w:r>
      <w:r w:rsidR="00BC3C6F">
        <w:rPr>
          <w:sz w:val="24"/>
          <w:szCs w:val="24"/>
        </w:rPr>
        <w:t>4</w:t>
      </w:r>
      <w:r w:rsidR="00CB66F3">
        <w:rPr>
          <w:sz w:val="24"/>
          <w:szCs w:val="24"/>
        </w:rPr>
        <w:t xml:space="preserve">8’inci kez gerçekleştirilen “Uluslararası Turizm Borsası – ITB Berlin Turizm Fuarı’na </w:t>
      </w:r>
      <w:r w:rsidRPr="005C5FC9">
        <w:rPr>
          <w:sz w:val="24"/>
          <w:szCs w:val="24"/>
        </w:rPr>
        <w:t>ilişkin fuar sonuç raporunu açıkladı. Türkiye’ye en çok turist gönderen ülke</w:t>
      </w:r>
      <w:r w:rsidR="00CB66F3">
        <w:rPr>
          <w:sz w:val="24"/>
          <w:szCs w:val="24"/>
        </w:rPr>
        <w:t xml:space="preserve"> konumundaki Almanya’daki son durumun </w:t>
      </w:r>
      <w:r w:rsidRPr="005C5FC9">
        <w:rPr>
          <w:sz w:val="24"/>
          <w:szCs w:val="24"/>
        </w:rPr>
        <w:t>değerlendirildiği fuarda</w:t>
      </w:r>
      <w:r w:rsidR="00CB66F3">
        <w:rPr>
          <w:sz w:val="24"/>
          <w:szCs w:val="24"/>
        </w:rPr>
        <w:t xml:space="preserve">n </w:t>
      </w:r>
      <w:r w:rsidR="00911855">
        <w:rPr>
          <w:sz w:val="24"/>
          <w:szCs w:val="24"/>
        </w:rPr>
        <w:t xml:space="preserve">2014 yılı dünya ve Türkiye turizmi için </w:t>
      </w:r>
      <w:r w:rsidR="00CB66F3" w:rsidRPr="00C83C79">
        <w:rPr>
          <w:color w:val="000000" w:themeColor="text1"/>
          <w:sz w:val="24"/>
          <w:szCs w:val="24"/>
        </w:rPr>
        <w:t>umut verici sinyaller geldi.</w:t>
      </w:r>
    </w:p>
    <w:p w:rsidR="004E4848" w:rsidRPr="005C5FC9" w:rsidRDefault="00CB66F3" w:rsidP="00F55D0E">
      <w:pPr>
        <w:jc w:val="both"/>
        <w:rPr>
          <w:b/>
          <w:sz w:val="24"/>
          <w:szCs w:val="24"/>
        </w:rPr>
      </w:pPr>
      <w:r>
        <w:rPr>
          <w:b/>
          <w:sz w:val="24"/>
          <w:szCs w:val="24"/>
        </w:rPr>
        <w:t>ALMANYA EKONOMİSİ</w:t>
      </w:r>
    </w:p>
    <w:p w:rsidR="00A53E02" w:rsidRPr="005C5FC9" w:rsidRDefault="00CB66F3" w:rsidP="00F55D0E">
      <w:pPr>
        <w:jc w:val="both"/>
        <w:rPr>
          <w:sz w:val="24"/>
          <w:szCs w:val="24"/>
        </w:rPr>
      </w:pPr>
      <w:r>
        <w:rPr>
          <w:sz w:val="24"/>
          <w:szCs w:val="24"/>
        </w:rPr>
        <w:t xml:space="preserve">Almanya, </w:t>
      </w:r>
      <w:r w:rsidR="00DB5068">
        <w:rPr>
          <w:sz w:val="24"/>
          <w:szCs w:val="24"/>
        </w:rPr>
        <w:t>3,5</w:t>
      </w:r>
      <w:r w:rsidR="004E4848" w:rsidRPr="005C5FC9">
        <w:rPr>
          <w:sz w:val="24"/>
          <w:szCs w:val="24"/>
        </w:rPr>
        <w:t xml:space="preserve"> trilyon </w:t>
      </w:r>
      <w:r w:rsidR="00DB5068">
        <w:rPr>
          <w:sz w:val="24"/>
          <w:szCs w:val="24"/>
        </w:rPr>
        <w:t xml:space="preserve">Dolar’a yaklaşan </w:t>
      </w:r>
      <w:r w:rsidR="004E4848" w:rsidRPr="005C5FC9">
        <w:rPr>
          <w:sz w:val="24"/>
          <w:szCs w:val="24"/>
        </w:rPr>
        <w:t>gayrisafi yurtiçi hasılası ile</w:t>
      </w:r>
      <w:r w:rsidR="005E2546">
        <w:rPr>
          <w:sz w:val="24"/>
          <w:szCs w:val="24"/>
        </w:rPr>
        <w:t xml:space="preserve"> Avrupa’nın </w:t>
      </w:r>
      <w:r w:rsidR="005E2546" w:rsidRPr="005C5FC9">
        <w:rPr>
          <w:sz w:val="24"/>
          <w:szCs w:val="24"/>
        </w:rPr>
        <w:t>en büyük</w:t>
      </w:r>
      <w:r w:rsidR="005E2546">
        <w:rPr>
          <w:sz w:val="24"/>
          <w:szCs w:val="24"/>
        </w:rPr>
        <w:t>,</w:t>
      </w:r>
      <w:r w:rsidR="004E4848" w:rsidRPr="005C5FC9">
        <w:rPr>
          <w:sz w:val="24"/>
          <w:szCs w:val="24"/>
        </w:rPr>
        <w:t xml:space="preserve"> dünyanın </w:t>
      </w:r>
      <w:r w:rsidR="005E2546">
        <w:rPr>
          <w:sz w:val="24"/>
          <w:szCs w:val="24"/>
        </w:rPr>
        <w:t xml:space="preserve">ise </w:t>
      </w:r>
      <w:r w:rsidR="00DB5068">
        <w:rPr>
          <w:sz w:val="24"/>
          <w:szCs w:val="24"/>
        </w:rPr>
        <w:t>dördüncü</w:t>
      </w:r>
      <w:r w:rsidR="005E2546">
        <w:rPr>
          <w:sz w:val="24"/>
          <w:szCs w:val="24"/>
        </w:rPr>
        <w:t xml:space="preserve"> büyük ekonomisi </w:t>
      </w:r>
      <w:r w:rsidR="004E4848" w:rsidRPr="005C5FC9">
        <w:rPr>
          <w:sz w:val="24"/>
          <w:szCs w:val="24"/>
        </w:rPr>
        <w:t xml:space="preserve">durumunda bulunuyor. Uluslararası Para Fonu (IMF) verilerine göre </w:t>
      </w:r>
      <w:r w:rsidR="00DB4BDA">
        <w:rPr>
          <w:sz w:val="24"/>
          <w:szCs w:val="24"/>
        </w:rPr>
        <w:t xml:space="preserve">Almanya </w:t>
      </w:r>
      <w:r w:rsidR="004E4848" w:rsidRPr="005C5FC9">
        <w:rPr>
          <w:sz w:val="24"/>
          <w:szCs w:val="24"/>
        </w:rPr>
        <w:t xml:space="preserve">ekonomisi, 2012 yılında </w:t>
      </w:r>
      <w:r w:rsidR="00DB5068">
        <w:rPr>
          <w:sz w:val="24"/>
          <w:szCs w:val="24"/>
        </w:rPr>
        <w:t>3</w:t>
      </w:r>
      <w:r w:rsidR="004E4848" w:rsidRPr="005C5FC9">
        <w:rPr>
          <w:sz w:val="24"/>
          <w:szCs w:val="24"/>
        </w:rPr>
        <w:t xml:space="preserve"> trilyon </w:t>
      </w:r>
      <w:r w:rsidR="00DB5068">
        <w:rPr>
          <w:sz w:val="24"/>
          <w:szCs w:val="24"/>
        </w:rPr>
        <w:t>429</w:t>
      </w:r>
      <w:r w:rsidR="004E4848" w:rsidRPr="005C5FC9">
        <w:rPr>
          <w:sz w:val="24"/>
          <w:szCs w:val="24"/>
        </w:rPr>
        <w:t xml:space="preserve"> </w:t>
      </w:r>
      <w:r w:rsidR="00DB5068">
        <w:rPr>
          <w:sz w:val="24"/>
          <w:szCs w:val="24"/>
        </w:rPr>
        <w:t>m</w:t>
      </w:r>
      <w:r w:rsidR="004E4848" w:rsidRPr="005C5FC9">
        <w:rPr>
          <w:sz w:val="24"/>
          <w:szCs w:val="24"/>
        </w:rPr>
        <w:t xml:space="preserve">ilyar dolarlık bir büyüklük oluşturdu. Yine IMF verilerine göre </w:t>
      </w:r>
      <w:r w:rsidR="00DB4BDA">
        <w:rPr>
          <w:sz w:val="24"/>
          <w:szCs w:val="24"/>
        </w:rPr>
        <w:t xml:space="preserve">Almanya’da </w:t>
      </w:r>
      <w:r w:rsidR="004E4848" w:rsidRPr="005C5FC9">
        <w:rPr>
          <w:sz w:val="24"/>
          <w:szCs w:val="24"/>
        </w:rPr>
        <w:t xml:space="preserve">kişi başına düşen milli gelir ise </w:t>
      </w:r>
      <w:r w:rsidR="00DB4BDA">
        <w:rPr>
          <w:sz w:val="24"/>
          <w:szCs w:val="24"/>
        </w:rPr>
        <w:t>41</w:t>
      </w:r>
      <w:r w:rsidR="004E4848" w:rsidRPr="005C5FC9">
        <w:rPr>
          <w:sz w:val="24"/>
          <w:szCs w:val="24"/>
        </w:rPr>
        <w:t xml:space="preserve"> bin </w:t>
      </w:r>
      <w:r w:rsidR="00DB4BDA">
        <w:rPr>
          <w:sz w:val="24"/>
          <w:szCs w:val="24"/>
        </w:rPr>
        <w:t>866</w:t>
      </w:r>
      <w:r w:rsidR="004E4848" w:rsidRPr="005C5FC9">
        <w:rPr>
          <w:sz w:val="24"/>
          <w:szCs w:val="24"/>
        </w:rPr>
        <w:t xml:space="preserve"> dolar düzeyinde gerçekleşti. </w:t>
      </w:r>
      <w:r w:rsidR="005E2546">
        <w:rPr>
          <w:sz w:val="24"/>
          <w:szCs w:val="24"/>
        </w:rPr>
        <w:t xml:space="preserve">Alman Federal Çalışma Ajansı </w:t>
      </w:r>
      <w:r w:rsidR="004E4848" w:rsidRPr="005C5FC9">
        <w:rPr>
          <w:sz w:val="24"/>
          <w:szCs w:val="24"/>
        </w:rPr>
        <w:t xml:space="preserve">tarafından açıklanan verilere göre </w:t>
      </w:r>
      <w:r w:rsidR="00A53E02" w:rsidRPr="005C5FC9">
        <w:rPr>
          <w:sz w:val="24"/>
          <w:szCs w:val="24"/>
        </w:rPr>
        <w:t xml:space="preserve">ise </w:t>
      </w:r>
      <w:r w:rsidR="004E4848" w:rsidRPr="005C5FC9">
        <w:rPr>
          <w:sz w:val="24"/>
          <w:szCs w:val="24"/>
        </w:rPr>
        <w:t xml:space="preserve">2013 yılı sonunda ülkedeki işsizlik oranı yüzde </w:t>
      </w:r>
      <w:r w:rsidR="005E2546">
        <w:rPr>
          <w:sz w:val="24"/>
          <w:szCs w:val="24"/>
        </w:rPr>
        <w:t>6,9 oldu.</w:t>
      </w:r>
    </w:p>
    <w:tbl>
      <w:tblPr>
        <w:tblStyle w:val="TabloKlavuzu"/>
        <w:tblW w:w="0" w:type="auto"/>
        <w:tblLook w:val="04A0" w:firstRow="1" w:lastRow="0" w:firstColumn="1" w:lastColumn="0" w:noHBand="0" w:noVBand="1"/>
      </w:tblPr>
      <w:tblGrid>
        <w:gridCol w:w="2802"/>
        <w:gridCol w:w="3543"/>
        <w:gridCol w:w="2918"/>
      </w:tblGrid>
      <w:tr w:rsidR="004E4848" w:rsidTr="001346CF">
        <w:trPr>
          <w:trHeight w:val="379"/>
        </w:trPr>
        <w:tc>
          <w:tcPr>
            <w:tcW w:w="9263" w:type="dxa"/>
            <w:gridSpan w:val="3"/>
            <w:shd w:val="clear" w:color="auto" w:fill="D9D9D9" w:themeFill="background1" w:themeFillShade="D9"/>
          </w:tcPr>
          <w:p w:rsidR="004E4848" w:rsidRPr="005C5FC9" w:rsidRDefault="005E2546" w:rsidP="00F55D0E">
            <w:pPr>
              <w:jc w:val="center"/>
              <w:rPr>
                <w:b/>
                <w:sz w:val="24"/>
                <w:szCs w:val="24"/>
              </w:rPr>
            </w:pPr>
            <w:r>
              <w:rPr>
                <w:b/>
                <w:sz w:val="24"/>
                <w:szCs w:val="24"/>
              </w:rPr>
              <w:t xml:space="preserve">ALMANYA </w:t>
            </w:r>
            <w:r w:rsidR="004E4848" w:rsidRPr="005C5FC9">
              <w:rPr>
                <w:b/>
                <w:sz w:val="24"/>
                <w:szCs w:val="24"/>
              </w:rPr>
              <w:t>EKONOMİK VERİLER</w:t>
            </w:r>
          </w:p>
        </w:tc>
      </w:tr>
      <w:tr w:rsidR="004E4848" w:rsidTr="001346CF">
        <w:trPr>
          <w:trHeight w:val="405"/>
        </w:trPr>
        <w:tc>
          <w:tcPr>
            <w:tcW w:w="2802" w:type="dxa"/>
            <w:shd w:val="clear" w:color="auto" w:fill="C2D69B" w:themeFill="accent3" w:themeFillTint="99"/>
          </w:tcPr>
          <w:p w:rsidR="004E4848" w:rsidRPr="001346CF" w:rsidRDefault="004E4848" w:rsidP="00F55D0E">
            <w:pPr>
              <w:jc w:val="center"/>
              <w:rPr>
                <w:b/>
                <w:sz w:val="24"/>
                <w:szCs w:val="24"/>
              </w:rPr>
            </w:pPr>
            <w:r w:rsidRPr="001346CF">
              <w:rPr>
                <w:b/>
                <w:sz w:val="24"/>
                <w:szCs w:val="24"/>
              </w:rPr>
              <w:t>GSMH (2012)</w:t>
            </w:r>
          </w:p>
        </w:tc>
        <w:tc>
          <w:tcPr>
            <w:tcW w:w="3543" w:type="dxa"/>
            <w:shd w:val="clear" w:color="auto" w:fill="C2D69B" w:themeFill="accent3" w:themeFillTint="99"/>
          </w:tcPr>
          <w:p w:rsidR="004E4848" w:rsidRPr="001346CF" w:rsidRDefault="004E4848" w:rsidP="00F55D0E">
            <w:pPr>
              <w:jc w:val="center"/>
              <w:rPr>
                <w:b/>
                <w:sz w:val="24"/>
                <w:szCs w:val="24"/>
              </w:rPr>
            </w:pPr>
            <w:r w:rsidRPr="001346CF">
              <w:rPr>
                <w:b/>
                <w:sz w:val="24"/>
                <w:szCs w:val="24"/>
              </w:rPr>
              <w:t>KİŞİBAŞINA DÜŞEN GELİR (2012)</w:t>
            </w:r>
          </w:p>
        </w:tc>
        <w:tc>
          <w:tcPr>
            <w:tcW w:w="2918" w:type="dxa"/>
            <w:shd w:val="clear" w:color="auto" w:fill="C2D69B" w:themeFill="accent3" w:themeFillTint="99"/>
          </w:tcPr>
          <w:p w:rsidR="004E4848" w:rsidRPr="001346CF" w:rsidRDefault="004E4848" w:rsidP="00F55D0E">
            <w:pPr>
              <w:jc w:val="center"/>
              <w:rPr>
                <w:b/>
                <w:sz w:val="24"/>
                <w:szCs w:val="24"/>
              </w:rPr>
            </w:pPr>
            <w:r w:rsidRPr="001346CF">
              <w:rPr>
                <w:b/>
                <w:sz w:val="24"/>
                <w:szCs w:val="24"/>
              </w:rPr>
              <w:t>İŞSİZLİK ORANI (2013)</w:t>
            </w:r>
          </w:p>
        </w:tc>
      </w:tr>
      <w:tr w:rsidR="004E4848" w:rsidTr="001346CF">
        <w:trPr>
          <w:trHeight w:val="405"/>
        </w:trPr>
        <w:tc>
          <w:tcPr>
            <w:tcW w:w="2802" w:type="dxa"/>
            <w:shd w:val="clear" w:color="auto" w:fill="95B3D7" w:themeFill="accent1" w:themeFillTint="99"/>
          </w:tcPr>
          <w:p w:rsidR="004E4848" w:rsidRPr="001346CF" w:rsidRDefault="005E2546" w:rsidP="00F55D0E">
            <w:pPr>
              <w:jc w:val="center"/>
              <w:rPr>
                <w:sz w:val="24"/>
                <w:szCs w:val="24"/>
              </w:rPr>
            </w:pPr>
            <w:r>
              <w:rPr>
                <w:sz w:val="24"/>
                <w:szCs w:val="24"/>
              </w:rPr>
              <w:t>3</w:t>
            </w:r>
            <w:r w:rsidR="004E4848" w:rsidRPr="001346CF">
              <w:rPr>
                <w:sz w:val="24"/>
                <w:szCs w:val="24"/>
              </w:rPr>
              <w:t xml:space="preserve"> </w:t>
            </w:r>
            <w:r>
              <w:rPr>
                <w:sz w:val="24"/>
                <w:szCs w:val="24"/>
              </w:rPr>
              <w:t xml:space="preserve">429 000 </w:t>
            </w:r>
            <w:r w:rsidR="004E4848" w:rsidRPr="001346CF">
              <w:rPr>
                <w:sz w:val="24"/>
                <w:szCs w:val="24"/>
              </w:rPr>
              <w:t>000 000</w:t>
            </w:r>
          </w:p>
        </w:tc>
        <w:tc>
          <w:tcPr>
            <w:tcW w:w="3543" w:type="dxa"/>
            <w:shd w:val="clear" w:color="auto" w:fill="95B3D7" w:themeFill="accent1" w:themeFillTint="99"/>
          </w:tcPr>
          <w:p w:rsidR="004E4848" w:rsidRPr="001346CF" w:rsidRDefault="005E2546" w:rsidP="00F55D0E">
            <w:pPr>
              <w:jc w:val="center"/>
              <w:rPr>
                <w:sz w:val="24"/>
                <w:szCs w:val="24"/>
              </w:rPr>
            </w:pPr>
            <w:r>
              <w:rPr>
                <w:sz w:val="24"/>
                <w:szCs w:val="24"/>
              </w:rPr>
              <w:t>41</w:t>
            </w:r>
            <w:r w:rsidR="004E4848" w:rsidRPr="001346CF">
              <w:rPr>
                <w:sz w:val="24"/>
                <w:szCs w:val="24"/>
              </w:rPr>
              <w:t xml:space="preserve"> </w:t>
            </w:r>
            <w:r>
              <w:rPr>
                <w:sz w:val="24"/>
                <w:szCs w:val="24"/>
              </w:rPr>
              <w:t>866</w:t>
            </w:r>
            <w:r w:rsidR="001346CF">
              <w:rPr>
                <w:sz w:val="24"/>
                <w:szCs w:val="24"/>
              </w:rPr>
              <w:t xml:space="preserve"> $</w:t>
            </w:r>
          </w:p>
        </w:tc>
        <w:tc>
          <w:tcPr>
            <w:tcW w:w="2918" w:type="dxa"/>
            <w:shd w:val="clear" w:color="auto" w:fill="95B3D7" w:themeFill="accent1" w:themeFillTint="99"/>
          </w:tcPr>
          <w:p w:rsidR="004E4848" w:rsidRPr="001346CF" w:rsidRDefault="004E4848" w:rsidP="00F55D0E">
            <w:pPr>
              <w:jc w:val="center"/>
              <w:rPr>
                <w:sz w:val="24"/>
                <w:szCs w:val="24"/>
              </w:rPr>
            </w:pPr>
            <w:r w:rsidRPr="001346CF">
              <w:rPr>
                <w:sz w:val="24"/>
                <w:szCs w:val="24"/>
              </w:rPr>
              <w:t>%</w:t>
            </w:r>
            <w:r w:rsidR="005E2546">
              <w:rPr>
                <w:sz w:val="24"/>
                <w:szCs w:val="24"/>
              </w:rPr>
              <w:t xml:space="preserve"> 6,9</w:t>
            </w:r>
          </w:p>
        </w:tc>
      </w:tr>
    </w:tbl>
    <w:p w:rsidR="00A53E02" w:rsidRPr="005C5FC9" w:rsidRDefault="005E2546" w:rsidP="00F55D0E">
      <w:pPr>
        <w:jc w:val="both"/>
        <w:rPr>
          <w:b/>
          <w:sz w:val="20"/>
          <w:szCs w:val="20"/>
        </w:rPr>
      </w:pPr>
      <w:r>
        <w:rPr>
          <w:sz w:val="20"/>
          <w:szCs w:val="20"/>
        </w:rPr>
        <w:t>Kaynak: IMF ve Alman Federal Çalışma Ajansı</w:t>
      </w:r>
    </w:p>
    <w:p w:rsidR="004E4848" w:rsidRPr="005C5FC9" w:rsidRDefault="004E4848" w:rsidP="00F55D0E">
      <w:pPr>
        <w:jc w:val="both"/>
        <w:rPr>
          <w:b/>
          <w:sz w:val="24"/>
          <w:szCs w:val="24"/>
        </w:rPr>
      </w:pPr>
      <w:r w:rsidRPr="005C5FC9">
        <w:rPr>
          <w:b/>
          <w:sz w:val="24"/>
          <w:szCs w:val="24"/>
        </w:rPr>
        <w:t xml:space="preserve">2014’TE </w:t>
      </w:r>
      <w:r w:rsidR="00140AA0">
        <w:rPr>
          <w:b/>
          <w:sz w:val="24"/>
          <w:szCs w:val="24"/>
        </w:rPr>
        <w:t xml:space="preserve">ALMAN </w:t>
      </w:r>
      <w:r w:rsidRPr="005C5FC9">
        <w:rPr>
          <w:b/>
          <w:sz w:val="24"/>
          <w:szCs w:val="24"/>
        </w:rPr>
        <w:t>EKONOMİ</w:t>
      </w:r>
      <w:r w:rsidR="00140AA0">
        <w:rPr>
          <w:b/>
          <w:sz w:val="24"/>
          <w:szCs w:val="24"/>
        </w:rPr>
        <w:t>SİN</w:t>
      </w:r>
      <w:r w:rsidRPr="005C5FC9">
        <w:rPr>
          <w:b/>
          <w:sz w:val="24"/>
          <w:szCs w:val="24"/>
        </w:rPr>
        <w:t>DE BÜYÜME BEKLENİYOR</w:t>
      </w:r>
    </w:p>
    <w:p w:rsidR="00140AA0" w:rsidRDefault="00781F8E" w:rsidP="00F55D0E">
      <w:pPr>
        <w:jc w:val="both"/>
        <w:rPr>
          <w:sz w:val="24"/>
          <w:szCs w:val="24"/>
        </w:rPr>
      </w:pPr>
      <w:r>
        <w:rPr>
          <w:sz w:val="24"/>
          <w:szCs w:val="24"/>
        </w:rPr>
        <w:t>Almanya küresel k</w:t>
      </w:r>
      <w:r w:rsidR="001346CF">
        <w:rPr>
          <w:sz w:val="24"/>
          <w:szCs w:val="24"/>
        </w:rPr>
        <w:t xml:space="preserve">rizden en </w:t>
      </w:r>
      <w:r>
        <w:rPr>
          <w:sz w:val="24"/>
          <w:szCs w:val="24"/>
        </w:rPr>
        <w:t xml:space="preserve">az etkilenen ülkelerin başında geliyor. </w:t>
      </w:r>
      <w:r w:rsidR="00140AA0">
        <w:rPr>
          <w:sz w:val="24"/>
          <w:szCs w:val="24"/>
        </w:rPr>
        <w:t>Kriz öncesinde</w:t>
      </w:r>
      <w:r w:rsidR="00C83C79">
        <w:rPr>
          <w:sz w:val="24"/>
          <w:szCs w:val="24"/>
        </w:rPr>
        <w:t>,</w:t>
      </w:r>
      <w:r w:rsidR="00140AA0">
        <w:rPr>
          <w:sz w:val="24"/>
          <w:szCs w:val="24"/>
        </w:rPr>
        <w:t xml:space="preserve"> 2005 yılında yüzde 11,7’lik oran ile işsizliğin zirveye çıktığı Almanya’da</w:t>
      </w:r>
      <w:r w:rsidR="00C83C79">
        <w:rPr>
          <w:sz w:val="24"/>
          <w:szCs w:val="24"/>
        </w:rPr>
        <w:t>,</w:t>
      </w:r>
      <w:r w:rsidR="00140AA0">
        <w:rPr>
          <w:sz w:val="24"/>
          <w:szCs w:val="24"/>
        </w:rPr>
        <w:t xml:space="preserve"> küresel ekonomik kriz sürecine rağmen </w:t>
      </w:r>
      <w:r w:rsidR="00C83C79">
        <w:rPr>
          <w:sz w:val="24"/>
          <w:szCs w:val="24"/>
        </w:rPr>
        <w:t xml:space="preserve">işsizlik </w:t>
      </w:r>
      <w:r w:rsidR="00140AA0">
        <w:rPr>
          <w:sz w:val="24"/>
          <w:szCs w:val="24"/>
        </w:rPr>
        <w:t>oran</w:t>
      </w:r>
      <w:r w:rsidR="00C83C79">
        <w:rPr>
          <w:sz w:val="24"/>
          <w:szCs w:val="24"/>
        </w:rPr>
        <w:t>ın</w:t>
      </w:r>
      <w:r w:rsidR="00140AA0">
        <w:rPr>
          <w:sz w:val="24"/>
          <w:szCs w:val="24"/>
        </w:rPr>
        <w:t xml:space="preserve">da </w:t>
      </w:r>
      <w:r w:rsidR="00C83C79">
        <w:rPr>
          <w:sz w:val="24"/>
          <w:szCs w:val="24"/>
        </w:rPr>
        <w:t xml:space="preserve">gerileme </w:t>
      </w:r>
      <w:r w:rsidR="00140AA0">
        <w:rPr>
          <w:sz w:val="24"/>
          <w:szCs w:val="24"/>
        </w:rPr>
        <w:t>yaşandı. 2012’de ülkedeki işsizlik oranı yüzde 6,8’e düşerken 2013 yılında 0,1 puanlık artışla %6,9 oldu.</w:t>
      </w:r>
    </w:p>
    <w:p w:rsidR="004E4848" w:rsidRPr="005C5FC9" w:rsidRDefault="00C83C79" w:rsidP="00F55D0E">
      <w:pPr>
        <w:jc w:val="both"/>
        <w:rPr>
          <w:sz w:val="24"/>
          <w:szCs w:val="24"/>
        </w:rPr>
      </w:pPr>
      <w:r>
        <w:rPr>
          <w:sz w:val="24"/>
          <w:szCs w:val="24"/>
        </w:rPr>
        <w:t xml:space="preserve">Alman ekonomisindeki büyüme </w:t>
      </w:r>
      <w:proofErr w:type="gramStart"/>
      <w:r>
        <w:rPr>
          <w:sz w:val="24"/>
          <w:szCs w:val="24"/>
        </w:rPr>
        <w:t>trendinin</w:t>
      </w:r>
      <w:proofErr w:type="gramEnd"/>
      <w:r>
        <w:rPr>
          <w:sz w:val="24"/>
          <w:szCs w:val="24"/>
        </w:rPr>
        <w:t xml:space="preserve"> önümüzdeki yıllarda da sürmesi bekleniyor. </w:t>
      </w:r>
      <w:r w:rsidR="00140AA0">
        <w:rPr>
          <w:sz w:val="24"/>
          <w:szCs w:val="24"/>
        </w:rPr>
        <w:t>IMF’nin Alman ekonomisinde 2014 ve 2015 yıllarında yaşanmasını beklediği büyüme oranları yüzde 1,6 ve 1,4 seviyesinde bulunuyor.</w:t>
      </w:r>
    </w:p>
    <w:tbl>
      <w:tblPr>
        <w:tblStyle w:val="TabloKlavuzu"/>
        <w:tblW w:w="9294" w:type="dxa"/>
        <w:tblLook w:val="04A0" w:firstRow="1" w:lastRow="0" w:firstColumn="1" w:lastColumn="0" w:noHBand="0" w:noVBand="1"/>
      </w:tblPr>
      <w:tblGrid>
        <w:gridCol w:w="2323"/>
        <w:gridCol w:w="2323"/>
        <w:gridCol w:w="2324"/>
        <w:gridCol w:w="2324"/>
      </w:tblGrid>
      <w:tr w:rsidR="004E4848" w:rsidTr="00A53E02">
        <w:trPr>
          <w:trHeight w:val="375"/>
        </w:trPr>
        <w:tc>
          <w:tcPr>
            <w:tcW w:w="9293" w:type="dxa"/>
            <w:gridSpan w:val="4"/>
            <w:shd w:val="clear" w:color="auto" w:fill="D9D9D9" w:themeFill="background1" w:themeFillShade="D9"/>
          </w:tcPr>
          <w:p w:rsidR="004E4848" w:rsidRPr="005C5FC9" w:rsidRDefault="00140AA0" w:rsidP="00F55D0E">
            <w:pPr>
              <w:jc w:val="center"/>
              <w:rPr>
                <w:b/>
                <w:sz w:val="24"/>
                <w:szCs w:val="24"/>
              </w:rPr>
            </w:pPr>
            <w:r>
              <w:rPr>
                <w:b/>
                <w:sz w:val="24"/>
                <w:szCs w:val="24"/>
              </w:rPr>
              <w:t xml:space="preserve">ALMANYA </w:t>
            </w:r>
            <w:r w:rsidR="004E4848" w:rsidRPr="005C5FC9">
              <w:rPr>
                <w:b/>
                <w:sz w:val="24"/>
                <w:szCs w:val="24"/>
              </w:rPr>
              <w:t>BÜYÜME RAKAMLARI</w:t>
            </w:r>
          </w:p>
        </w:tc>
      </w:tr>
      <w:tr w:rsidR="004E4848" w:rsidRPr="004938EF" w:rsidTr="00A53E02">
        <w:trPr>
          <w:trHeight w:val="351"/>
        </w:trPr>
        <w:tc>
          <w:tcPr>
            <w:tcW w:w="2323" w:type="dxa"/>
            <w:shd w:val="clear" w:color="auto" w:fill="C2D69B" w:themeFill="accent3" w:themeFillTint="99"/>
          </w:tcPr>
          <w:p w:rsidR="004E4848" w:rsidRPr="004938EF" w:rsidRDefault="004E4848" w:rsidP="00F55D0E">
            <w:pPr>
              <w:jc w:val="center"/>
              <w:rPr>
                <w:b/>
              </w:rPr>
            </w:pPr>
            <w:r w:rsidRPr="004938EF">
              <w:rPr>
                <w:b/>
              </w:rPr>
              <w:t>2012</w:t>
            </w:r>
          </w:p>
        </w:tc>
        <w:tc>
          <w:tcPr>
            <w:tcW w:w="2323" w:type="dxa"/>
            <w:shd w:val="clear" w:color="auto" w:fill="C2D69B" w:themeFill="accent3" w:themeFillTint="99"/>
          </w:tcPr>
          <w:p w:rsidR="004E4848" w:rsidRPr="004938EF" w:rsidRDefault="004E4848" w:rsidP="00F55D0E">
            <w:pPr>
              <w:jc w:val="center"/>
              <w:rPr>
                <w:b/>
              </w:rPr>
            </w:pPr>
            <w:r w:rsidRPr="004938EF">
              <w:rPr>
                <w:b/>
              </w:rPr>
              <w:t>2013</w:t>
            </w:r>
          </w:p>
        </w:tc>
        <w:tc>
          <w:tcPr>
            <w:tcW w:w="2324" w:type="dxa"/>
            <w:shd w:val="clear" w:color="auto" w:fill="C2D69B" w:themeFill="accent3" w:themeFillTint="99"/>
          </w:tcPr>
          <w:p w:rsidR="004E4848" w:rsidRPr="004938EF" w:rsidRDefault="004E4848" w:rsidP="00F55D0E">
            <w:pPr>
              <w:jc w:val="center"/>
              <w:rPr>
                <w:b/>
              </w:rPr>
            </w:pPr>
            <w:r w:rsidRPr="004938EF">
              <w:rPr>
                <w:b/>
              </w:rPr>
              <w:t>2014 (Beklenti)</w:t>
            </w:r>
          </w:p>
        </w:tc>
        <w:tc>
          <w:tcPr>
            <w:tcW w:w="2324" w:type="dxa"/>
            <w:shd w:val="clear" w:color="auto" w:fill="C2D69B" w:themeFill="accent3" w:themeFillTint="99"/>
          </w:tcPr>
          <w:p w:rsidR="004E4848" w:rsidRPr="004938EF" w:rsidRDefault="004E4848" w:rsidP="00F55D0E">
            <w:pPr>
              <w:jc w:val="center"/>
              <w:rPr>
                <w:b/>
              </w:rPr>
            </w:pPr>
            <w:r w:rsidRPr="004938EF">
              <w:rPr>
                <w:b/>
              </w:rPr>
              <w:t>2015 (Beklenti)</w:t>
            </w:r>
          </w:p>
        </w:tc>
      </w:tr>
      <w:tr w:rsidR="004E4848" w:rsidTr="00A53E02">
        <w:trPr>
          <w:trHeight w:val="399"/>
        </w:trPr>
        <w:tc>
          <w:tcPr>
            <w:tcW w:w="2323" w:type="dxa"/>
            <w:shd w:val="clear" w:color="auto" w:fill="8DB3E2" w:themeFill="text2" w:themeFillTint="66"/>
          </w:tcPr>
          <w:p w:rsidR="004E4848" w:rsidRDefault="004E4848" w:rsidP="00F55D0E">
            <w:pPr>
              <w:jc w:val="center"/>
            </w:pPr>
            <w:r>
              <w:t>% - 2,5</w:t>
            </w:r>
          </w:p>
        </w:tc>
        <w:tc>
          <w:tcPr>
            <w:tcW w:w="2323" w:type="dxa"/>
            <w:shd w:val="clear" w:color="auto" w:fill="8DB3E2" w:themeFill="text2" w:themeFillTint="66"/>
          </w:tcPr>
          <w:p w:rsidR="004E4848" w:rsidRDefault="004E4848" w:rsidP="00F55D0E">
            <w:pPr>
              <w:jc w:val="center"/>
            </w:pPr>
            <w:r>
              <w:t>% - 1,8</w:t>
            </w:r>
          </w:p>
        </w:tc>
        <w:tc>
          <w:tcPr>
            <w:tcW w:w="2324" w:type="dxa"/>
            <w:shd w:val="clear" w:color="auto" w:fill="8DB3E2" w:themeFill="text2" w:themeFillTint="66"/>
          </w:tcPr>
          <w:p w:rsidR="004E4848" w:rsidRDefault="004E4848" w:rsidP="00F55D0E">
            <w:pPr>
              <w:jc w:val="center"/>
            </w:pPr>
            <w:r>
              <w:t xml:space="preserve">% </w:t>
            </w:r>
            <w:r w:rsidR="00140AA0">
              <w:t>1</w:t>
            </w:r>
            <w:r>
              <w:t>,6</w:t>
            </w:r>
          </w:p>
        </w:tc>
        <w:tc>
          <w:tcPr>
            <w:tcW w:w="2324" w:type="dxa"/>
            <w:shd w:val="clear" w:color="auto" w:fill="8DB3E2" w:themeFill="text2" w:themeFillTint="66"/>
          </w:tcPr>
          <w:p w:rsidR="004E4848" w:rsidRDefault="004E4848" w:rsidP="00F55D0E">
            <w:pPr>
              <w:jc w:val="center"/>
            </w:pPr>
            <w:r>
              <w:t>% 1,</w:t>
            </w:r>
            <w:r w:rsidR="00140AA0">
              <w:t>4</w:t>
            </w:r>
          </w:p>
        </w:tc>
      </w:tr>
    </w:tbl>
    <w:p w:rsidR="004E4848" w:rsidRPr="005C5FC9" w:rsidRDefault="004E4848" w:rsidP="00F55D0E">
      <w:pPr>
        <w:jc w:val="both"/>
        <w:rPr>
          <w:sz w:val="20"/>
          <w:szCs w:val="20"/>
        </w:rPr>
      </w:pPr>
      <w:r w:rsidRPr="005C5FC9">
        <w:rPr>
          <w:sz w:val="20"/>
          <w:szCs w:val="20"/>
        </w:rPr>
        <w:t>Kaynak: IMF</w:t>
      </w:r>
    </w:p>
    <w:p w:rsidR="004E4848" w:rsidRPr="005C5FC9" w:rsidRDefault="004E4848" w:rsidP="00F55D0E">
      <w:pPr>
        <w:jc w:val="both"/>
        <w:rPr>
          <w:sz w:val="24"/>
          <w:szCs w:val="24"/>
        </w:rPr>
      </w:pPr>
      <w:r w:rsidRPr="005C5FC9">
        <w:rPr>
          <w:sz w:val="24"/>
          <w:szCs w:val="24"/>
        </w:rPr>
        <w:t xml:space="preserve">Dünya Seyahat ve Turizm Konseyi (WTTC) verilerine göre, 2012 yılında </w:t>
      </w:r>
      <w:r w:rsidR="00140AA0">
        <w:rPr>
          <w:sz w:val="24"/>
          <w:szCs w:val="24"/>
        </w:rPr>
        <w:t xml:space="preserve">Almanya’da </w:t>
      </w:r>
      <w:r w:rsidRPr="005C5FC9">
        <w:rPr>
          <w:sz w:val="24"/>
          <w:szCs w:val="24"/>
        </w:rPr>
        <w:t>turizm sektörünün</w:t>
      </w:r>
      <w:r w:rsidR="0054647B">
        <w:rPr>
          <w:sz w:val="24"/>
          <w:szCs w:val="24"/>
        </w:rPr>
        <w:t xml:space="preserve"> ülkenin Gayri Safi Yurtiçi Hasılası’na sağladığı direkt katkı yüzde </w:t>
      </w:r>
      <w:r w:rsidR="00140AA0">
        <w:rPr>
          <w:sz w:val="24"/>
          <w:szCs w:val="24"/>
        </w:rPr>
        <w:t>1,6</w:t>
      </w:r>
      <w:r w:rsidR="0054647B">
        <w:rPr>
          <w:sz w:val="24"/>
          <w:szCs w:val="24"/>
        </w:rPr>
        <w:t xml:space="preserve"> düzeyinde bulunurken </w:t>
      </w:r>
      <w:r w:rsidR="007B5A01">
        <w:rPr>
          <w:sz w:val="24"/>
          <w:szCs w:val="24"/>
        </w:rPr>
        <w:t xml:space="preserve">destek olduğu diğer sektörlerle birlikte turizmin oluşturduğu ekonomik büyüklük </w:t>
      </w:r>
      <w:r w:rsidR="00140AA0">
        <w:rPr>
          <w:sz w:val="24"/>
          <w:szCs w:val="24"/>
        </w:rPr>
        <w:t xml:space="preserve">Almanya </w:t>
      </w:r>
      <w:r w:rsidR="007B5A01">
        <w:rPr>
          <w:sz w:val="24"/>
          <w:szCs w:val="24"/>
        </w:rPr>
        <w:t xml:space="preserve">ekonomisinin yüzde </w:t>
      </w:r>
      <w:r w:rsidR="00140AA0">
        <w:rPr>
          <w:sz w:val="24"/>
          <w:szCs w:val="24"/>
        </w:rPr>
        <w:t>4,5</w:t>
      </w:r>
      <w:r w:rsidR="007B5A01">
        <w:rPr>
          <w:sz w:val="24"/>
          <w:szCs w:val="24"/>
        </w:rPr>
        <w:t>’</w:t>
      </w:r>
      <w:r w:rsidR="00140AA0">
        <w:rPr>
          <w:sz w:val="24"/>
          <w:szCs w:val="24"/>
        </w:rPr>
        <w:t>ine</w:t>
      </w:r>
      <w:r w:rsidR="007B5A01">
        <w:rPr>
          <w:sz w:val="24"/>
          <w:szCs w:val="24"/>
        </w:rPr>
        <w:t xml:space="preserve"> karşılık geliyor. </w:t>
      </w:r>
      <w:r w:rsidRPr="005C5FC9">
        <w:rPr>
          <w:sz w:val="24"/>
          <w:szCs w:val="24"/>
        </w:rPr>
        <w:t xml:space="preserve">Turizm sektörü </w:t>
      </w:r>
      <w:r w:rsidR="00140AA0">
        <w:rPr>
          <w:sz w:val="24"/>
          <w:szCs w:val="24"/>
        </w:rPr>
        <w:t>Almanya’da 1</w:t>
      </w:r>
      <w:r w:rsidRPr="005C5FC9">
        <w:rPr>
          <w:sz w:val="24"/>
          <w:szCs w:val="24"/>
        </w:rPr>
        <w:t xml:space="preserve"> milyon </w:t>
      </w:r>
      <w:r w:rsidR="00140AA0">
        <w:rPr>
          <w:sz w:val="24"/>
          <w:szCs w:val="24"/>
        </w:rPr>
        <w:t xml:space="preserve">985 </w:t>
      </w:r>
      <w:r w:rsidRPr="005C5FC9">
        <w:rPr>
          <w:sz w:val="24"/>
          <w:szCs w:val="24"/>
        </w:rPr>
        <w:t>bin</w:t>
      </w:r>
      <w:r w:rsidR="00140AA0">
        <w:rPr>
          <w:sz w:val="24"/>
          <w:szCs w:val="24"/>
        </w:rPr>
        <w:t xml:space="preserve"> 500</w:t>
      </w:r>
      <w:r w:rsidRPr="005C5FC9">
        <w:rPr>
          <w:sz w:val="24"/>
          <w:szCs w:val="24"/>
        </w:rPr>
        <w:t xml:space="preserve"> kişiye</w:t>
      </w:r>
      <w:r w:rsidR="00A53E02" w:rsidRPr="005C5FC9">
        <w:rPr>
          <w:sz w:val="24"/>
          <w:szCs w:val="24"/>
        </w:rPr>
        <w:t xml:space="preserve"> doğrudan ve dolaylı olarak</w:t>
      </w:r>
      <w:r w:rsidRPr="005C5FC9">
        <w:rPr>
          <w:sz w:val="24"/>
          <w:szCs w:val="24"/>
        </w:rPr>
        <w:t xml:space="preserve"> iş olanağı sağlayarak ülkedeki toplam istihdamın yüzde </w:t>
      </w:r>
      <w:r w:rsidR="007937B2">
        <w:rPr>
          <w:sz w:val="24"/>
          <w:szCs w:val="24"/>
        </w:rPr>
        <w:t>4,8’i</w:t>
      </w:r>
      <w:r w:rsidRPr="005C5FC9">
        <w:rPr>
          <w:sz w:val="24"/>
          <w:szCs w:val="24"/>
        </w:rPr>
        <w:t>ni oluştur</w:t>
      </w:r>
      <w:r w:rsidR="0076527C">
        <w:rPr>
          <w:sz w:val="24"/>
          <w:szCs w:val="24"/>
        </w:rPr>
        <w:t>du</w:t>
      </w:r>
      <w:r w:rsidRPr="005C5FC9">
        <w:rPr>
          <w:sz w:val="24"/>
          <w:szCs w:val="24"/>
        </w:rPr>
        <w:t>.</w:t>
      </w:r>
    </w:p>
    <w:p w:rsidR="004E4848" w:rsidRDefault="004E4848" w:rsidP="00F55D0E">
      <w:pPr>
        <w:jc w:val="center"/>
      </w:pPr>
      <w:r>
        <w:rPr>
          <w:noProof/>
          <w:lang w:eastAsia="tr-TR"/>
        </w:rPr>
        <w:lastRenderedPageBreak/>
        <w:drawing>
          <wp:inline distT="0" distB="0" distL="0" distR="0" wp14:anchorId="0FB5744A" wp14:editId="3F3AEB36">
            <wp:extent cx="5433237" cy="2083981"/>
            <wp:effectExtent l="38100" t="38100" r="129540" b="107315"/>
            <wp:docPr id="7" name="Grafik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E4848" w:rsidRPr="005C5FC9" w:rsidRDefault="004E4848" w:rsidP="00F55D0E">
      <w:pPr>
        <w:jc w:val="both"/>
        <w:rPr>
          <w:sz w:val="20"/>
          <w:szCs w:val="20"/>
        </w:rPr>
      </w:pPr>
      <w:r w:rsidRPr="005C5FC9">
        <w:rPr>
          <w:sz w:val="20"/>
          <w:szCs w:val="20"/>
        </w:rPr>
        <w:t>* Kaynak: WTTC</w:t>
      </w:r>
    </w:p>
    <w:p w:rsidR="007C7601" w:rsidRDefault="007C7601" w:rsidP="00F55D0E">
      <w:pPr>
        <w:jc w:val="both"/>
        <w:rPr>
          <w:b/>
          <w:sz w:val="24"/>
          <w:szCs w:val="24"/>
        </w:rPr>
      </w:pPr>
      <w:r>
        <w:rPr>
          <w:b/>
          <w:sz w:val="24"/>
          <w:szCs w:val="24"/>
        </w:rPr>
        <w:t>ALMANYA DÜNYANIN EN ÇOK TURİST ÇEKEN 7’İNCİ ÜLKESİ</w:t>
      </w:r>
    </w:p>
    <w:p w:rsidR="007C7601" w:rsidRDefault="007C7601" w:rsidP="00F55D0E">
      <w:pPr>
        <w:jc w:val="both"/>
        <w:rPr>
          <w:sz w:val="24"/>
          <w:szCs w:val="24"/>
        </w:rPr>
      </w:pPr>
      <w:r>
        <w:rPr>
          <w:sz w:val="24"/>
          <w:szCs w:val="24"/>
        </w:rPr>
        <w:t xml:space="preserve">Dünyanın en çok turist gönderen ülkeleri arasında yer alan Almanya, yabancı ziyaretçiler için de bir çekim merkezi durumunda. </w:t>
      </w:r>
      <w:r w:rsidR="00932870">
        <w:rPr>
          <w:sz w:val="24"/>
          <w:szCs w:val="24"/>
        </w:rPr>
        <w:t>G</w:t>
      </w:r>
      <w:r>
        <w:rPr>
          <w:sz w:val="24"/>
          <w:szCs w:val="24"/>
        </w:rPr>
        <w:t>elişmiş ekonomisi özellikle iş seyahatleri için ciddi bir çekim oluştur</w:t>
      </w:r>
      <w:r w:rsidR="00932870">
        <w:rPr>
          <w:sz w:val="24"/>
          <w:szCs w:val="24"/>
        </w:rPr>
        <w:t xml:space="preserve">an Almanya’da </w:t>
      </w:r>
      <w:r w:rsidR="0076527C">
        <w:rPr>
          <w:sz w:val="24"/>
          <w:szCs w:val="24"/>
        </w:rPr>
        <w:t>d</w:t>
      </w:r>
      <w:r>
        <w:rPr>
          <w:sz w:val="24"/>
          <w:szCs w:val="24"/>
        </w:rPr>
        <w:t>oğal ve kültürel mirası koruma</w:t>
      </w:r>
      <w:r w:rsidR="00C12A60">
        <w:rPr>
          <w:sz w:val="24"/>
          <w:szCs w:val="24"/>
        </w:rPr>
        <w:t xml:space="preserve"> noktasında gösterilen </w:t>
      </w:r>
      <w:r w:rsidR="00932870">
        <w:rPr>
          <w:sz w:val="24"/>
          <w:szCs w:val="24"/>
        </w:rPr>
        <w:t xml:space="preserve">başarı da </w:t>
      </w:r>
      <w:r w:rsidR="00C12A60">
        <w:rPr>
          <w:sz w:val="24"/>
          <w:szCs w:val="24"/>
        </w:rPr>
        <w:t xml:space="preserve">ülkeye yönelik turistik talebi </w:t>
      </w:r>
      <w:r w:rsidR="00932870">
        <w:rPr>
          <w:sz w:val="24"/>
          <w:szCs w:val="24"/>
        </w:rPr>
        <w:t>olumlu yönde etkilemektedir.</w:t>
      </w:r>
    </w:p>
    <w:p w:rsidR="00932870" w:rsidRDefault="00581856" w:rsidP="00F55D0E">
      <w:pPr>
        <w:jc w:val="center"/>
        <w:rPr>
          <w:sz w:val="24"/>
          <w:szCs w:val="24"/>
        </w:rPr>
      </w:pPr>
      <w:r>
        <w:rPr>
          <w:noProof/>
          <w:sz w:val="24"/>
          <w:szCs w:val="24"/>
          <w:lang w:eastAsia="tr-TR"/>
        </w:rPr>
        <w:drawing>
          <wp:inline distT="0" distB="0" distL="0" distR="0" wp14:anchorId="525E5686" wp14:editId="082A3FB4">
            <wp:extent cx="5486400" cy="3200400"/>
            <wp:effectExtent l="38100" t="95250" r="95250" b="38100"/>
            <wp:docPr id="9" name="Grafik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710F1" w:rsidRPr="00A710F1" w:rsidRDefault="00A710F1" w:rsidP="00F55D0E">
      <w:pPr>
        <w:jc w:val="both"/>
        <w:rPr>
          <w:sz w:val="16"/>
          <w:szCs w:val="16"/>
        </w:rPr>
      </w:pPr>
      <w:r>
        <w:rPr>
          <w:sz w:val="16"/>
          <w:szCs w:val="16"/>
        </w:rPr>
        <w:t xml:space="preserve">* </w:t>
      </w:r>
      <w:r w:rsidRPr="00A710F1">
        <w:rPr>
          <w:sz w:val="16"/>
          <w:szCs w:val="16"/>
        </w:rPr>
        <w:t>Kaynak: UNWTO</w:t>
      </w:r>
    </w:p>
    <w:p w:rsidR="00932870" w:rsidRDefault="00932870" w:rsidP="00F55D0E">
      <w:pPr>
        <w:jc w:val="both"/>
        <w:rPr>
          <w:sz w:val="24"/>
          <w:szCs w:val="24"/>
        </w:rPr>
      </w:pPr>
    </w:p>
    <w:p w:rsidR="009F5CB9" w:rsidRPr="009F5CB9" w:rsidRDefault="009F5CB9" w:rsidP="00F55D0E">
      <w:pPr>
        <w:jc w:val="both"/>
        <w:rPr>
          <w:b/>
          <w:sz w:val="24"/>
          <w:szCs w:val="24"/>
        </w:rPr>
      </w:pPr>
      <w:r w:rsidRPr="009F5CB9">
        <w:rPr>
          <w:b/>
          <w:sz w:val="24"/>
          <w:szCs w:val="24"/>
        </w:rPr>
        <w:t xml:space="preserve">ALMANYA’DA </w:t>
      </w:r>
      <w:r w:rsidR="0034716F">
        <w:rPr>
          <w:b/>
          <w:sz w:val="24"/>
          <w:szCs w:val="24"/>
        </w:rPr>
        <w:t>OTELLERİN</w:t>
      </w:r>
      <w:r w:rsidR="008D3D54">
        <w:rPr>
          <w:b/>
          <w:sz w:val="24"/>
          <w:szCs w:val="24"/>
        </w:rPr>
        <w:t xml:space="preserve"> </w:t>
      </w:r>
      <w:r w:rsidRPr="009F5CB9">
        <w:rPr>
          <w:b/>
          <w:sz w:val="24"/>
          <w:szCs w:val="24"/>
        </w:rPr>
        <w:t>GECELEME SAYISI 4</w:t>
      </w:r>
      <w:r w:rsidR="008D3D54">
        <w:rPr>
          <w:b/>
          <w:sz w:val="24"/>
          <w:szCs w:val="24"/>
        </w:rPr>
        <w:t>10</w:t>
      </w:r>
      <w:r w:rsidRPr="009F5CB9">
        <w:rPr>
          <w:b/>
          <w:sz w:val="24"/>
          <w:szCs w:val="24"/>
        </w:rPr>
        <w:t xml:space="preserve"> MİLYONU AŞTI</w:t>
      </w:r>
    </w:p>
    <w:p w:rsidR="009F5CB9" w:rsidRDefault="009F5CB9" w:rsidP="00F55D0E">
      <w:pPr>
        <w:jc w:val="both"/>
        <w:rPr>
          <w:sz w:val="24"/>
          <w:szCs w:val="24"/>
        </w:rPr>
      </w:pPr>
      <w:r>
        <w:rPr>
          <w:sz w:val="24"/>
          <w:szCs w:val="24"/>
        </w:rPr>
        <w:t xml:space="preserve">Almanya, yalnızca yabancılar için değil Alman vatandaşları için de çok önemli bir </w:t>
      </w:r>
      <w:proofErr w:type="gramStart"/>
      <w:r>
        <w:rPr>
          <w:sz w:val="24"/>
          <w:szCs w:val="24"/>
        </w:rPr>
        <w:t>destinasyon</w:t>
      </w:r>
      <w:proofErr w:type="gramEnd"/>
      <w:r>
        <w:rPr>
          <w:sz w:val="24"/>
          <w:szCs w:val="24"/>
        </w:rPr>
        <w:t xml:space="preserve"> konumunda bulunuyor. Alman vatandaşlarının ülke içinde gerçekleştirdikleri seyahatlere artan yabancı ilgisi de eklenince Almanya’daki otellerde geceleme sayısı son yıllarda durmaksızın artıyor. 2005 yılında 344 milyon gecelemeye ev sahipliği yapan Almanya’daki turistik tesisler</w:t>
      </w:r>
      <w:r w:rsidR="00C07459">
        <w:rPr>
          <w:sz w:val="24"/>
          <w:szCs w:val="24"/>
        </w:rPr>
        <w:t xml:space="preserve">in </w:t>
      </w:r>
      <w:r>
        <w:rPr>
          <w:sz w:val="24"/>
          <w:szCs w:val="24"/>
        </w:rPr>
        <w:t>2013 yılında</w:t>
      </w:r>
      <w:r w:rsidR="00C07459">
        <w:rPr>
          <w:sz w:val="24"/>
          <w:szCs w:val="24"/>
        </w:rPr>
        <w:t xml:space="preserve"> ulaştığı geceleme sayısı ise </w:t>
      </w:r>
      <w:proofErr w:type="gramStart"/>
      <w:r>
        <w:rPr>
          <w:sz w:val="24"/>
          <w:szCs w:val="24"/>
        </w:rPr>
        <w:t>410.8</w:t>
      </w:r>
      <w:proofErr w:type="gramEnd"/>
      <w:r>
        <w:rPr>
          <w:sz w:val="24"/>
          <w:szCs w:val="24"/>
        </w:rPr>
        <w:t xml:space="preserve"> milyona çık</w:t>
      </w:r>
      <w:r w:rsidR="00C07459">
        <w:rPr>
          <w:sz w:val="24"/>
          <w:szCs w:val="24"/>
        </w:rPr>
        <w:t>tı</w:t>
      </w:r>
      <w:r>
        <w:rPr>
          <w:sz w:val="24"/>
          <w:szCs w:val="24"/>
        </w:rPr>
        <w:t>.</w:t>
      </w:r>
    </w:p>
    <w:p w:rsidR="004A686B" w:rsidRDefault="004A686B" w:rsidP="00F55D0E">
      <w:pPr>
        <w:jc w:val="both"/>
        <w:rPr>
          <w:sz w:val="24"/>
          <w:szCs w:val="24"/>
        </w:rPr>
      </w:pPr>
    </w:p>
    <w:p w:rsidR="009F5CB9" w:rsidRPr="004A686B" w:rsidRDefault="004A686B" w:rsidP="00F55D0E">
      <w:pPr>
        <w:jc w:val="center"/>
        <w:rPr>
          <w:b/>
          <w:sz w:val="24"/>
          <w:szCs w:val="24"/>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4A686B">
        <w:rPr>
          <w:b/>
          <w:sz w:val="28"/>
          <w:szCs w:val="28"/>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lastRenderedPageBreak/>
        <w:t>ALMANYA’DAKİ OTELLERDE GERÇEKLEŞEN GECELEME SAYILARI (milyon)</w:t>
      </w:r>
      <w:r w:rsidR="008D3D54" w:rsidRPr="004A686B">
        <w:rPr>
          <w:b/>
          <w:noProof/>
          <w:sz w:val="24"/>
          <w:szCs w:val="24"/>
          <w:lang w:eastAsia="tr-TR"/>
          <w14:shadow w14:blurRad="50800" w14:dist="0" w14:dir="0" w14:sx="100000" w14:sy="100000" w14:kx="0" w14:ky="0" w14:algn="tl">
            <w14:srgbClr w14:val="000000"/>
          </w14:shadow>
          <w14:textOutline w14:w="8890" w14:cap="flat" w14:cmpd="sng" w14:algn="ctr">
            <w14:solidFill>
              <w14:srgbClr w14:val="000000"/>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drawing>
          <wp:inline distT="0" distB="0" distL="0" distR="0" wp14:anchorId="63F158B1" wp14:editId="3CE460FB">
            <wp:extent cx="5486400" cy="3200400"/>
            <wp:effectExtent l="0" t="0" r="19050" b="19050"/>
            <wp:docPr id="5" name="Grafik 5" title="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B86AE2" w:rsidRPr="00A710F1" w:rsidRDefault="00B86AE2" w:rsidP="00F55D0E">
      <w:pPr>
        <w:jc w:val="both"/>
        <w:rPr>
          <w:sz w:val="16"/>
          <w:szCs w:val="16"/>
        </w:rPr>
      </w:pPr>
      <w:r>
        <w:rPr>
          <w:sz w:val="16"/>
          <w:szCs w:val="16"/>
        </w:rPr>
        <w:t xml:space="preserve">* </w:t>
      </w:r>
      <w:r w:rsidRPr="00A710F1">
        <w:rPr>
          <w:sz w:val="16"/>
          <w:szCs w:val="16"/>
        </w:rPr>
        <w:t xml:space="preserve">Kaynak: </w:t>
      </w:r>
      <w:r>
        <w:rPr>
          <w:sz w:val="16"/>
          <w:szCs w:val="16"/>
        </w:rPr>
        <w:t>Alman Seyahat Birliği (DRV)</w:t>
      </w:r>
    </w:p>
    <w:p w:rsidR="00C12A60" w:rsidRDefault="00A710F1" w:rsidP="00F55D0E">
      <w:pPr>
        <w:jc w:val="both"/>
        <w:rPr>
          <w:sz w:val="24"/>
          <w:szCs w:val="24"/>
        </w:rPr>
      </w:pPr>
      <w:r>
        <w:rPr>
          <w:b/>
          <w:sz w:val="24"/>
          <w:szCs w:val="24"/>
        </w:rPr>
        <w:t xml:space="preserve">KİŞİBAŞI </w:t>
      </w:r>
      <w:r w:rsidR="00C12A60" w:rsidRPr="00C12A60">
        <w:rPr>
          <w:b/>
          <w:sz w:val="24"/>
          <w:szCs w:val="24"/>
        </w:rPr>
        <w:t xml:space="preserve">TURİZM GELİRİNDE </w:t>
      </w:r>
      <w:r>
        <w:rPr>
          <w:b/>
          <w:sz w:val="24"/>
          <w:szCs w:val="24"/>
        </w:rPr>
        <w:t>ZİRVEYE OYNUYOR</w:t>
      </w:r>
    </w:p>
    <w:p w:rsidR="0000496E" w:rsidRDefault="00A710F1" w:rsidP="00F55D0E">
      <w:pPr>
        <w:jc w:val="both"/>
        <w:rPr>
          <w:sz w:val="24"/>
          <w:szCs w:val="24"/>
        </w:rPr>
      </w:pPr>
      <w:r>
        <w:rPr>
          <w:sz w:val="24"/>
          <w:szCs w:val="24"/>
        </w:rPr>
        <w:t>Almanya en çok ziyaretçi çeken yedinci ülke olmasının yanı</w:t>
      </w:r>
      <w:r w:rsidR="00C07459">
        <w:rPr>
          <w:sz w:val="24"/>
          <w:szCs w:val="24"/>
        </w:rPr>
        <w:t>nda</w:t>
      </w:r>
      <w:r>
        <w:rPr>
          <w:sz w:val="24"/>
          <w:szCs w:val="24"/>
        </w:rPr>
        <w:t xml:space="preserve"> turizm gelirinde de dünya turizm liginin üst sıralarında yer alıyor. Birleşmiş Milletler Dünya Turizm Örgütü tarafından açıklanan verilere göre Almanya 2012 yılında turizmden elde ettiği </w:t>
      </w:r>
      <w:proofErr w:type="gramStart"/>
      <w:r>
        <w:rPr>
          <w:sz w:val="24"/>
          <w:szCs w:val="24"/>
        </w:rPr>
        <w:t>38.1</w:t>
      </w:r>
      <w:proofErr w:type="gramEnd"/>
      <w:r>
        <w:rPr>
          <w:sz w:val="24"/>
          <w:szCs w:val="24"/>
        </w:rPr>
        <w:t xml:space="preserve"> milyar dolarlık turizm geliri ile </w:t>
      </w:r>
      <w:r w:rsidR="0000496E">
        <w:rPr>
          <w:sz w:val="24"/>
          <w:szCs w:val="24"/>
        </w:rPr>
        <w:t>dünya yedincisi durumunda bulunuyor. Bununla birlikte kişi</w:t>
      </w:r>
      <w:r w:rsidR="0081177F">
        <w:rPr>
          <w:sz w:val="24"/>
          <w:szCs w:val="24"/>
        </w:rPr>
        <w:t xml:space="preserve"> </w:t>
      </w:r>
      <w:r w:rsidR="0000496E">
        <w:rPr>
          <w:sz w:val="24"/>
          <w:szCs w:val="24"/>
        </w:rPr>
        <w:t>başı turizm gelirleri hesaplandığında Almanya</w:t>
      </w:r>
      <w:r w:rsidR="0081177F">
        <w:rPr>
          <w:sz w:val="24"/>
          <w:szCs w:val="24"/>
        </w:rPr>
        <w:t>,</w:t>
      </w:r>
      <w:r w:rsidR="0000496E">
        <w:rPr>
          <w:sz w:val="24"/>
          <w:szCs w:val="24"/>
        </w:rPr>
        <w:t xml:space="preserve"> ABD’nin hemen ardından ikinci sırada yer alıyor. ABD’ye giden her bir turist ortalama 1883 Dolar harcama gerçekleştirirken Almanya’ya giden turistlerin kişi başı ortalama harcaması 1253 Dolar düzeyinde bulunuyor.</w:t>
      </w:r>
    </w:p>
    <w:p w:rsidR="00B86AE2" w:rsidRPr="00A710F1" w:rsidRDefault="0000496E" w:rsidP="00F55D0E">
      <w:pPr>
        <w:jc w:val="both"/>
        <w:rPr>
          <w:sz w:val="16"/>
          <w:szCs w:val="16"/>
        </w:rPr>
      </w:pPr>
      <w:r w:rsidRPr="007324A7">
        <w:rPr>
          <w:b/>
          <w:noProof/>
          <w:sz w:val="24"/>
          <w:szCs w:val="24"/>
          <w:lang w:eastAsia="tr-TR"/>
        </w:rPr>
        <w:drawing>
          <wp:inline distT="0" distB="0" distL="0" distR="0" wp14:anchorId="2BB7361C" wp14:editId="2EA388BE">
            <wp:extent cx="5486400" cy="3200400"/>
            <wp:effectExtent l="57150" t="114300" r="133350" b="76200"/>
            <wp:docPr id="12" name="Grafik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B86AE2">
        <w:rPr>
          <w:sz w:val="16"/>
          <w:szCs w:val="16"/>
        </w:rPr>
        <w:t xml:space="preserve">* </w:t>
      </w:r>
      <w:r w:rsidR="00B86AE2" w:rsidRPr="00A710F1">
        <w:rPr>
          <w:sz w:val="16"/>
          <w:szCs w:val="16"/>
        </w:rPr>
        <w:t>Kaynak: UNWTO</w:t>
      </w:r>
    </w:p>
    <w:p w:rsidR="0000496E" w:rsidRDefault="0000496E" w:rsidP="00F55D0E">
      <w:pPr>
        <w:jc w:val="both"/>
        <w:rPr>
          <w:sz w:val="24"/>
          <w:szCs w:val="24"/>
        </w:rPr>
      </w:pPr>
    </w:p>
    <w:p w:rsidR="007C7601" w:rsidRDefault="007C7601" w:rsidP="00F55D0E">
      <w:pPr>
        <w:jc w:val="both"/>
        <w:rPr>
          <w:b/>
          <w:sz w:val="24"/>
          <w:szCs w:val="24"/>
        </w:rPr>
      </w:pPr>
      <w:r>
        <w:rPr>
          <w:b/>
          <w:sz w:val="24"/>
          <w:szCs w:val="24"/>
        </w:rPr>
        <w:lastRenderedPageBreak/>
        <w:t>ALMANLARIN TURİZM HARCAMASI 90 MİLYAR DOLARI AŞTI</w:t>
      </w:r>
    </w:p>
    <w:p w:rsidR="007C7601" w:rsidRDefault="007C7601" w:rsidP="00F55D0E">
      <w:pPr>
        <w:jc w:val="both"/>
        <w:rPr>
          <w:sz w:val="24"/>
          <w:szCs w:val="24"/>
        </w:rPr>
      </w:pPr>
      <w:r>
        <w:rPr>
          <w:sz w:val="24"/>
          <w:szCs w:val="24"/>
        </w:rPr>
        <w:t>“Dünyanın en çok turist gönderen ülkesi” ve “En çok turizm harcaması gerçekleştiren ülkesi” unvanını 2012 yılına kadar elinde bulunduran Almanya, Çin’in turizmdeki hızlı yükselişi ile ikincilik koltuğuna geriledi. 2012 yılında 102 milyar dolarlık turizm harcaması gerçekleştiren Çinliler 83,8 milyar dolarlık turizm harcaması yapan Almanları geride bıraktılar.</w:t>
      </w:r>
    </w:p>
    <w:p w:rsidR="007C7601" w:rsidRDefault="0081177F" w:rsidP="00F55D0E">
      <w:pPr>
        <w:jc w:val="both"/>
        <w:rPr>
          <w:sz w:val="24"/>
          <w:szCs w:val="24"/>
        </w:rPr>
      </w:pPr>
      <w:r>
        <w:rPr>
          <w:sz w:val="24"/>
          <w:szCs w:val="24"/>
        </w:rPr>
        <w:t xml:space="preserve">Bununla birlikte </w:t>
      </w:r>
      <w:r w:rsidR="007C7601">
        <w:rPr>
          <w:sz w:val="24"/>
          <w:szCs w:val="24"/>
        </w:rPr>
        <w:t xml:space="preserve">Alman vatandaşlarının seyahat harcamaları 2013 yılında da arttı. Alman Seyahat Birliği Başkanı </w:t>
      </w:r>
      <w:proofErr w:type="spellStart"/>
      <w:r w:rsidR="007C7601">
        <w:rPr>
          <w:sz w:val="24"/>
          <w:szCs w:val="24"/>
        </w:rPr>
        <w:t>Jürgen</w:t>
      </w:r>
      <w:proofErr w:type="spellEnd"/>
      <w:r w:rsidR="007C7601">
        <w:rPr>
          <w:sz w:val="24"/>
          <w:szCs w:val="24"/>
        </w:rPr>
        <w:t xml:space="preserve"> </w:t>
      </w:r>
      <w:proofErr w:type="spellStart"/>
      <w:r w:rsidR="007C7601">
        <w:rPr>
          <w:sz w:val="24"/>
          <w:szCs w:val="24"/>
        </w:rPr>
        <w:t>Büchy</w:t>
      </w:r>
      <w:proofErr w:type="spellEnd"/>
      <w:r w:rsidR="007C7601">
        <w:rPr>
          <w:sz w:val="24"/>
          <w:szCs w:val="24"/>
        </w:rPr>
        <w:t>, 2013 yılında Alman seyahat acentelerinin cirosunun 25,2 milyar Euro büyüklüğe ulaştığını, 40 milyonu aşkın kişinin tur operatörleri vasıtasıyla seyahate çıktı</w:t>
      </w:r>
      <w:r w:rsidR="001E72B4">
        <w:rPr>
          <w:sz w:val="24"/>
          <w:szCs w:val="24"/>
        </w:rPr>
        <w:t xml:space="preserve">ğını </w:t>
      </w:r>
      <w:r w:rsidR="007C7601">
        <w:rPr>
          <w:sz w:val="24"/>
          <w:szCs w:val="24"/>
        </w:rPr>
        <w:t xml:space="preserve">açıkladı. </w:t>
      </w:r>
      <w:proofErr w:type="spellStart"/>
      <w:r w:rsidR="007C7601">
        <w:rPr>
          <w:sz w:val="24"/>
          <w:szCs w:val="24"/>
        </w:rPr>
        <w:t>Büchy</w:t>
      </w:r>
      <w:proofErr w:type="spellEnd"/>
      <w:r w:rsidR="007C7601">
        <w:rPr>
          <w:sz w:val="24"/>
          <w:szCs w:val="24"/>
        </w:rPr>
        <w:t>, 2013 yılında Alman vatandaşlarının yurtdışında gerçekleştirdikleri harcamaların ise 65 milyar Euro’yu (Yaklaşık 90,2 milyar $) bulduğunu dile getirdi.</w:t>
      </w:r>
    </w:p>
    <w:p w:rsidR="001E72B4" w:rsidRPr="001E72B4" w:rsidRDefault="001E72B4" w:rsidP="00F55D0E">
      <w:pPr>
        <w:jc w:val="both"/>
        <w:rPr>
          <w:b/>
          <w:sz w:val="24"/>
          <w:szCs w:val="24"/>
        </w:rPr>
      </w:pPr>
      <w:r w:rsidRPr="001E72B4">
        <w:rPr>
          <w:b/>
          <w:sz w:val="24"/>
          <w:szCs w:val="24"/>
        </w:rPr>
        <w:t>ALMANLAR</w:t>
      </w:r>
      <w:r w:rsidR="00B062FB">
        <w:rPr>
          <w:b/>
          <w:sz w:val="24"/>
          <w:szCs w:val="24"/>
        </w:rPr>
        <w:t xml:space="preserve"> 2013’TE 142,6 MİLYON SEYAHAT GERÇEKLEŞTİRDİ</w:t>
      </w:r>
    </w:p>
    <w:p w:rsidR="00B062FB" w:rsidRDefault="001E72B4" w:rsidP="00F55D0E">
      <w:pPr>
        <w:jc w:val="both"/>
        <w:rPr>
          <w:sz w:val="24"/>
          <w:szCs w:val="24"/>
        </w:rPr>
      </w:pPr>
      <w:r>
        <w:rPr>
          <w:sz w:val="24"/>
          <w:szCs w:val="24"/>
        </w:rPr>
        <w:t xml:space="preserve">Tatil ve Seyahat Araştırmaları Kuruluşu (FUR) tarafından gerçekleştirilen çalışmaya göre </w:t>
      </w:r>
      <w:r w:rsidR="00B062FB">
        <w:rPr>
          <w:sz w:val="24"/>
          <w:szCs w:val="24"/>
        </w:rPr>
        <w:t xml:space="preserve">Alman vatandaşları </w:t>
      </w:r>
      <w:r w:rsidR="00C07459">
        <w:rPr>
          <w:sz w:val="24"/>
          <w:szCs w:val="24"/>
        </w:rPr>
        <w:t xml:space="preserve">2013 yılında </w:t>
      </w:r>
      <w:r w:rsidR="00B062FB">
        <w:rPr>
          <w:sz w:val="24"/>
          <w:szCs w:val="24"/>
        </w:rPr>
        <w:t xml:space="preserve">toplamda 142,6 milyon seyahat gerçekleştirdi. Bu seyahatlerin 71,9 milyonu 5 günden kısa süreli tatiller </w:t>
      </w:r>
      <w:r w:rsidR="00C07459">
        <w:rPr>
          <w:sz w:val="24"/>
          <w:szCs w:val="24"/>
        </w:rPr>
        <w:t xml:space="preserve">şeklinde olurken </w:t>
      </w:r>
      <w:r>
        <w:rPr>
          <w:sz w:val="24"/>
          <w:szCs w:val="24"/>
        </w:rPr>
        <w:t>2013 yılında</w:t>
      </w:r>
      <w:r w:rsidR="00B062FB">
        <w:rPr>
          <w:sz w:val="24"/>
          <w:szCs w:val="24"/>
        </w:rPr>
        <w:t xml:space="preserve"> Almanların</w:t>
      </w:r>
      <w:r>
        <w:rPr>
          <w:sz w:val="24"/>
          <w:szCs w:val="24"/>
        </w:rPr>
        <w:t xml:space="preserve"> 5 günden uzun süreli tatile çık</w:t>
      </w:r>
      <w:r w:rsidR="00B062FB">
        <w:rPr>
          <w:sz w:val="24"/>
          <w:szCs w:val="24"/>
        </w:rPr>
        <w:t xml:space="preserve">tıkları seyahat sayısı </w:t>
      </w:r>
      <w:r>
        <w:rPr>
          <w:sz w:val="24"/>
          <w:szCs w:val="24"/>
        </w:rPr>
        <w:t>70,7 milyon oldu.</w:t>
      </w:r>
    </w:p>
    <w:p w:rsidR="001E72B4" w:rsidRDefault="00B062FB" w:rsidP="00F55D0E">
      <w:pPr>
        <w:jc w:val="both"/>
        <w:rPr>
          <w:sz w:val="24"/>
          <w:szCs w:val="24"/>
        </w:rPr>
      </w:pPr>
      <w:r>
        <w:rPr>
          <w:sz w:val="24"/>
          <w:szCs w:val="24"/>
        </w:rPr>
        <w:t>5 günden uzun s</w:t>
      </w:r>
      <w:r w:rsidR="001E72B4">
        <w:rPr>
          <w:sz w:val="24"/>
          <w:szCs w:val="24"/>
        </w:rPr>
        <w:t>eyahatlerin yüzde 30,3’ü iç pazara yönelik olarak gerçekleşirken yüzde 69,7’si ise yurtdışına yönelik oldu. Yurtdışında en gözde ülkeler Akdeniz’e kıyısı olan ülkeler olurken Türkiye</w:t>
      </w:r>
      <w:r w:rsidR="00C07459">
        <w:rPr>
          <w:sz w:val="24"/>
          <w:szCs w:val="24"/>
        </w:rPr>
        <w:t>;</w:t>
      </w:r>
      <w:r w:rsidR="001E72B4">
        <w:rPr>
          <w:sz w:val="24"/>
          <w:szCs w:val="24"/>
        </w:rPr>
        <w:t xml:space="preserve"> İspanya ve İtalya’nın ardından en çok talep gören yurtdışı </w:t>
      </w:r>
      <w:proofErr w:type="gramStart"/>
      <w:r w:rsidR="001E72B4">
        <w:rPr>
          <w:sz w:val="24"/>
          <w:szCs w:val="24"/>
        </w:rPr>
        <w:t>destinasyon</w:t>
      </w:r>
      <w:proofErr w:type="gramEnd"/>
      <w:r w:rsidR="001E72B4">
        <w:rPr>
          <w:sz w:val="24"/>
          <w:szCs w:val="24"/>
        </w:rPr>
        <w:t xml:space="preserve"> olma başarısı gösterdi.</w:t>
      </w:r>
    </w:p>
    <w:p w:rsidR="001E72B4" w:rsidRDefault="008F4E48" w:rsidP="00F55D0E">
      <w:pPr>
        <w:jc w:val="center"/>
        <w:rPr>
          <w:b/>
          <w:sz w:val="24"/>
          <w:szCs w:val="24"/>
        </w:rPr>
      </w:pPr>
      <w:r>
        <w:rPr>
          <w:b/>
          <w:noProof/>
          <w:sz w:val="24"/>
          <w:szCs w:val="24"/>
          <w:lang w:eastAsia="tr-TR"/>
        </w:rPr>
        <w:drawing>
          <wp:inline distT="0" distB="0" distL="0" distR="0" wp14:anchorId="52C1C02E" wp14:editId="6DF698C6">
            <wp:extent cx="5486400" cy="3200400"/>
            <wp:effectExtent l="38100" t="95250" r="95250" b="38100"/>
            <wp:docPr id="21" name="Grafik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DA335D" w:rsidRDefault="00DA335D" w:rsidP="00F55D0E">
      <w:pPr>
        <w:jc w:val="both"/>
        <w:rPr>
          <w:b/>
          <w:sz w:val="24"/>
          <w:szCs w:val="24"/>
        </w:rPr>
      </w:pPr>
      <w:r>
        <w:rPr>
          <w:sz w:val="16"/>
          <w:szCs w:val="16"/>
        </w:rPr>
        <w:t xml:space="preserve">* Kaynak: FUR Reise </w:t>
      </w:r>
      <w:proofErr w:type="spellStart"/>
      <w:r>
        <w:rPr>
          <w:sz w:val="16"/>
          <w:szCs w:val="16"/>
        </w:rPr>
        <w:t>Analyse</w:t>
      </w:r>
      <w:proofErr w:type="spellEnd"/>
      <w:r w:rsidR="00B062FB">
        <w:rPr>
          <w:sz w:val="16"/>
          <w:szCs w:val="16"/>
        </w:rPr>
        <w:t xml:space="preserve"> (5 günden uzun tatiller için)</w:t>
      </w:r>
    </w:p>
    <w:p w:rsidR="001B1239" w:rsidRDefault="001B1239" w:rsidP="00F55D0E">
      <w:pPr>
        <w:jc w:val="both"/>
        <w:rPr>
          <w:b/>
          <w:sz w:val="24"/>
          <w:szCs w:val="24"/>
        </w:rPr>
      </w:pPr>
      <w:r>
        <w:rPr>
          <w:b/>
          <w:sz w:val="24"/>
          <w:szCs w:val="24"/>
        </w:rPr>
        <w:t>ALMANLARIN ORTALAMA KONAKLAMA SÜRESİ KISALIYOR</w:t>
      </w:r>
    </w:p>
    <w:p w:rsidR="001B1239" w:rsidRDefault="001B1239" w:rsidP="00F55D0E">
      <w:pPr>
        <w:jc w:val="both"/>
        <w:rPr>
          <w:sz w:val="24"/>
          <w:szCs w:val="24"/>
        </w:rPr>
      </w:pPr>
      <w:proofErr w:type="spellStart"/>
      <w:r w:rsidRPr="001B1239">
        <w:rPr>
          <w:sz w:val="24"/>
          <w:szCs w:val="24"/>
        </w:rPr>
        <w:t>GfK-TravelScope</w:t>
      </w:r>
      <w:proofErr w:type="spellEnd"/>
      <w:r>
        <w:rPr>
          <w:sz w:val="24"/>
          <w:szCs w:val="24"/>
        </w:rPr>
        <w:t xml:space="preserve"> tarafından Alman Seyahat Birliği DRV için gerçekleştirilen araştırmaya göre Alman tüketicilerin ortalama tatil süresi son 10 yıllık dönemde kısal</w:t>
      </w:r>
      <w:r w:rsidR="00A95C3B">
        <w:rPr>
          <w:sz w:val="24"/>
          <w:szCs w:val="24"/>
        </w:rPr>
        <w:t>dı</w:t>
      </w:r>
      <w:r>
        <w:rPr>
          <w:sz w:val="24"/>
          <w:szCs w:val="24"/>
        </w:rPr>
        <w:t>. 2004 yılında 11,1 gün ortal</w:t>
      </w:r>
      <w:r w:rsidR="003C15BB">
        <w:rPr>
          <w:sz w:val="24"/>
          <w:szCs w:val="24"/>
        </w:rPr>
        <w:t>a</w:t>
      </w:r>
      <w:r>
        <w:rPr>
          <w:sz w:val="24"/>
          <w:szCs w:val="24"/>
        </w:rPr>
        <w:t>maya sahip olan Alman tüketicilerin tatil süresi 2013 yılında 10,3 güne gerilemiş durumda.</w:t>
      </w:r>
    </w:p>
    <w:p w:rsidR="001B1239" w:rsidRDefault="001B1239" w:rsidP="00F55D0E">
      <w:pPr>
        <w:jc w:val="center"/>
        <w:rPr>
          <w:b/>
          <w:sz w:val="24"/>
          <w:szCs w:val="24"/>
        </w:rPr>
      </w:pPr>
      <w:r>
        <w:rPr>
          <w:b/>
          <w:noProof/>
          <w:sz w:val="24"/>
          <w:szCs w:val="24"/>
          <w:lang w:eastAsia="tr-TR"/>
        </w:rPr>
        <w:lastRenderedPageBreak/>
        <w:drawing>
          <wp:inline distT="0" distB="0" distL="0" distR="0" wp14:anchorId="284FCBA2" wp14:editId="1843C851">
            <wp:extent cx="5486400" cy="3200400"/>
            <wp:effectExtent l="0" t="0" r="19050" b="19050"/>
            <wp:docPr id="8" name="Grafik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20889" w:rsidRDefault="00B02FD9" w:rsidP="00F55D0E">
      <w:pPr>
        <w:jc w:val="both"/>
        <w:rPr>
          <w:b/>
          <w:sz w:val="24"/>
          <w:szCs w:val="24"/>
        </w:rPr>
      </w:pPr>
      <w:r>
        <w:rPr>
          <w:b/>
          <w:sz w:val="24"/>
          <w:szCs w:val="24"/>
        </w:rPr>
        <w:t>TÜRKİYE ALMAN PAZARINDA 5 MİLYON SINIRINI</w:t>
      </w:r>
      <w:r w:rsidR="00820889">
        <w:rPr>
          <w:b/>
          <w:sz w:val="24"/>
          <w:szCs w:val="24"/>
        </w:rPr>
        <w:t>N ÜZERİNDE</w:t>
      </w:r>
    </w:p>
    <w:p w:rsidR="00A8235D" w:rsidRDefault="00820889" w:rsidP="00F55D0E">
      <w:pPr>
        <w:jc w:val="both"/>
        <w:rPr>
          <w:sz w:val="24"/>
          <w:szCs w:val="24"/>
        </w:rPr>
      </w:pPr>
      <w:r>
        <w:rPr>
          <w:sz w:val="24"/>
          <w:szCs w:val="24"/>
        </w:rPr>
        <w:t xml:space="preserve">Almanya, Türk turizminin gelişmeye başladığı ilk yıllardan bu yana </w:t>
      </w:r>
      <w:r w:rsidR="00B02FD9">
        <w:rPr>
          <w:sz w:val="24"/>
          <w:szCs w:val="24"/>
        </w:rPr>
        <w:t xml:space="preserve">Türkiye’ye en çok turist gönderen ülke </w:t>
      </w:r>
      <w:r>
        <w:rPr>
          <w:sz w:val="24"/>
          <w:szCs w:val="24"/>
        </w:rPr>
        <w:t xml:space="preserve">unvanını sürdürüyor. İlk kez 1992 yılında 1 milyon turist sayısını geçtiğimiz Almanya pazarında yaşanan hızlı yükselişle birlikte 1996 yılında 2 milyon sınırı aşıldı. Türkiye’ye gelen Alman turist sayısı 3 milyon sınırını 2002’de, </w:t>
      </w:r>
      <w:r w:rsidR="00A8235D">
        <w:rPr>
          <w:sz w:val="24"/>
          <w:szCs w:val="24"/>
        </w:rPr>
        <w:t xml:space="preserve">4 milyon sınırını ise 2005 yılında aştı. Türk turizmi için önemli bir eşik olan 5 milyon Alman turist sayısına ise ilk kez 2012 yılında ulaşıldı. Almanya pazarında 2013 yılında yüzde 0,25’lik artış yaşandı ve </w:t>
      </w:r>
      <w:r w:rsidR="0081177F">
        <w:rPr>
          <w:sz w:val="24"/>
          <w:szCs w:val="24"/>
        </w:rPr>
        <w:t xml:space="preserve">geçtiğimiz yıl </w:t>
      </w:r>
      <w:r w:rsidR="00A8235D">
        <w:rPr>
          <w:sz w:val="24"/>
          <w:szCs w:val="24"/>
        </w:rPr>
        <w:t>Türkiye 5 milyon 41 bin 323 Alman turist ağırladı.</w:t>
      </w:r>
    </w:p>
    <w:p w:rsidR="00D20D0D" w:rsidRDefault="0065141A" w:rsidP="00F55D0E">
      <w:pPr>
        <w:jc w:val="center"/>
        <w:rPr>
          <w:sz w:val="24"/>
          <w:szCs w:val="24"/>
        </w:rPr>
      </w:pPr>
      <w:r>
        <w:rPr>
          <w:noProof/>
          <w:sz w:val="24"/>
          <w:szCs w:val="24"/>
          <w:lang w:eastAsia="tr-TR"/>
        </w:rPr>
        <w:drawing>
          <wp:inline distT="0" distB="0" distL="0" distR="0" wp14:anchorId="7B688352" wp14:editId="7382CDF5">
            <wp:extent cx="5486400" cy="3200400"/>
            <wp:effectExtent l="0" t="0" r="19050" b="19050"/>
            <wp:docPr id="6" name="Grafik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A95C3B" w:rsidRDefault="00A8235D" w:rsidP="00F55D0E">
      <w:pPr>
        <w:jc w:val="both"/>
        <w:rPr>
          <w:b/>
          <w:sz w:val="24"/>
          <w:szCs w:val="24"/>
        </w:rPr>
      </w:pPr>
      <w:r>
        <w:rPr>
          <w:sz w:val="16"/>
          <w:szCs w:val="16"/>
        </w:rPr>
        <w:t>* Kaynak: Kültür ve Turizm Bakanlığı</w:t>
      </w:r>
    </w:p>
    <w:p w:rsidR="0069050A" w:rsidRDefault="0069050A" w:rsidP="00F55D0E">
      <w:pPr>
        <w:jc w:val="both"/>
        <w:rPr>
          <w:b/>
          <w:sz w:val="24"/>
          <w:szCs w:val="24"/>
        </w:rPr>
      </w:pPr>
      <w:r>
        <w:rPr>
          <w:b/>
          <w:sz w:val="24"/>
          <w:szCs w:val="24"/>
        </w:rPr>
        <w:t>ALMANLAR TÜRKİYE’DE DAHA KISA SÜRE GEÇİRİYOR</w:t>
      </w:r>
    </w:p>
    <w:p w:rsidR="0069050A" w:rsidRDefault="0069050A" w:rsidP="00F55D0E">
      <w:pPr>
        <w:jc w:val="both"/>
        <w:rPr>
          <w:sz w:val="24"/>
          <w:szCs w:val="24"/>
        </w:rPr>
      </w:pPr>
      <w:r>
        <w:rPr>
          <w:sz w:val="24"/>
          <w:szCs w:val="24"/>
        </w:rPr>
        <w:t xml:space="preserve">Türkiye İstatistik Kurumu tarafından açıklanan verilere göre ise Alman turistlerin Türkiye’de geçirdikleri tatillerde ortalama kalış süreleri ise daha kısa oldu. 2013 yılında Türkiye’ye gelen </w:t>
      </w:r>
      <w:r>
        <w:rPr>
          <w:sz w:val="24"/>
          <w:szCs w:val="24"/>
        </w:rPr>
        <w:lastRenderedPageBreak/>
        <w:t>5 milyon 41 bin 323 Alman turist, 45 milyon 504 bin 809 geceleme gerçekleştirdi. Bu veriye göre Alman turistlerin Türkiye’deki ortalama kalış süresi 9,02 gün oldu.</w:t>
      </w:r>
    </w:p>
    <w:p w:rsidR="0069050A" w:rsidRPr="001B1239" w:rsidRDefault="0069050A" w:rsidP="00F55D0E">
      <w:pPr>
        <w:jc w:val="center"/>
        <w:rPr>
          <w:sz w:val="24"/>
          <w:szCs w:val="24"/>
        </w:rPr>
      </w:pPr>
      <w:r>
        <w:rPr>
          <w:noProof/>
          <w:sz w:val="24"/>
          <w:szCs w:val="24"/>
          <w:lang w:eastAsia="tr-TR"/>
        </w:rPr>
        <w:drawing>
          <wp:inline distT="0" distB="0" distL="0" distR="0" wp14:anchorId="7C2422DE" wp14:editId="115A8A06">
            <wp:extent cx="5486400" cy="3200400"/>
            <wp:effectExtent l="0" t="0" r="19050" b="19050"/>
            <wp:docPr id="13" name="Grafik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9050A" w:rsidRDefault="0069050A" w:rsidP="00F55D0E">
      <w:pPr>
        <w:jc w:val="both"/>
        <w:rPr>
          <w:b/>
          <w:sz w:val="24"/>
          <w:szCs w:val="24"/>
        </w:rPr>
      </w:pPr>
      <w:r>
        <w:rPr>
          <w:sz w:val="16"/>
          <w:szCs w:val="16"/>
        </w:rPr>
        <w:t>* Kaynak: Türkiye İstatistik Kurumu</w:t>
      </w:r>
    </w:p>
    <w:p w:rsidR="003C15BB" w:rsidRPr="003C15BB" w:rsidRDefault="003C15BB" w:rsidP="00F55D0E">
      <w:pPr>
        <w:jc w:val="both"/>
        <w:rPr>
          <w:b/>
          <w:sz w:val="24"/>
          <w:szCs w:val="24"/>
        </w:rPr>
      </w:pPr>
      <w:r w:rsidRPr="003C15BB">
        <w:rPr>
          <w:b/>
          <w:sz w:val="24"/>
          <w:szCs w:val="24"/>
        </w:rPr>
        <w:t xml:space="preserve">ALMAN TURİST TÜRKİYE’DE </w:t>
      </w:r>
      <w:r w:rsidR="00234FF0">
        <w:rPr>
          <w:b/>
          <w:sz w:val="24"/>
          <w:szCs w:val="24"/>
        </w:rPr>
        <w:t xml:space="preserve">ORTALAMA </w:t>
      </w:r>
      <w:r w:rsidRPr="003C15BB">
        <w:rPr>
          <w:b/>
          <w:sz w:val="24"/>
          <w:szCs w:val="24"/>
        </w:rPr>
        <w:t>789 DOLAR HARCADI</w:t>
      </w:r>
    </w:p>
    <w:p w:rsidR="003B614C" w:rsidRDefault="003C15BB" w:rsidP="00F55D0E">
      <w:pPr>
        <w:jc w:val="both"/>
        <w:rPr>
          <w:sz w:val="24"/>
          <w:szCs w:val="24"/>
        </w:rPr>
      </w:pPr>
      <w:r>
        <w:rPr>
          <w:sz w:val="24"/>
          <w:szCs w:val="24"/>
        </w:rPr>
        <w:t xml:space="preserve">Türkiye İstatistik Kurumu tarafından açıklanan verilere göre </w:t>
      </w:r>
      <w:r w:rsidR="00C52A82">
        <w:rPr>
          <w:sz w:val="24"/>
          <w:szCs w:val="24"/>
        </w:rPr>
        <w:t xml:space="preserve">Alman turistler 2012 yılında Türkiye’de ortalama 742 dolarlık harcama gerçekleştirirken 2013 yılında bu veride </w:t>
      </w:r>
      <w:r w:rsidR="003B614C">
        <w:rPr>
          <w:sz w:val="24"/>
          <w:szCs w:val="24"/>
        </w:rPr>
        <w:t xml:space="preserve">yüzde 6,33’lük artış kaydedildi. Buna göre Alman turistler 2013 yılında Türkiye’de kaldıkları 9,02 günde ortalama 789 dolar harcama gerçekleştirdiler. </w:t>
      </w:r>
      <w:r w:rsidR="00234FF0">
        <w:rPr>
          <w:sz w:val="24"/>
          <w:szCs w:val="24"/>
        </w:rPr>
        <w:t>Almanların ülkemize bıraktıkları toplam turizm geliri ise 3 milyar 979 milyon 163 bin dolar oldu.</w:t>
      </w:r>
    </w:p>
    <w:p w:rsidR="00234FF0" w:rsidRPr="00234FF0" w:rsidRDefault="00234FF0" w:rsidP="00F55D0E">
      <w:pPr>
        <w:jc w:val="both"/>
        <w:rPr>
          <w:b/>
          <w:sz w:val="24"/>
          <w:szCs w:val="24"/>
        </w:rPr>
      </w:pPr>
      <w:r w:rsidRPr="00234FF0">
        <w:rPr>
          <w:b/>
          <w:sz w:val="24"/>
          <w:szCs w:val="24"/>
        </w:rPr>
        <w:t xml:space="preserve">ALMAN PAZARINDA </w:t>
      </w:r>
      <w:proofErr w:type="gramStart"/>
      <w:r w:rsidRPr="00234FF0">
        <w:rPr>
          <w:b/>
          <w:sz w:val="24"/>
          <w:szCs w:val="24"/>
        </w:rPr>
        <w:t>HAKİM</w:t>
      </w:r>
      <w:proofErr w:type="gramEnd"/>
      <w:r w:rsidRPr="00234FF0">
        <w:rPr>
          <w:b/>
          <w:sz w:val="24"/>
          <w:szCs w:val="24"/>
        </w:rPr>
        <w:t xml:space="preserve"> OLAN TUR OPERATÖRLERİ</w:t>
      </w:r>
    </w:p>
    <w:p w:rsidR="00234FF0" w:rsidRDefault="00234FF0" w:rsidP="00F55D0E">
      <w:pPr>
        <w:jc w:val="both"/>
        <w:rPr>
          <w:sz w:val="24"/>
          <w:szCs w:val="24"/>
        </w:rPr>
      </w:pPr>
      <w:r>
        <w:rPr>
          <w:sz w:val="24"/>
          <w:szCs w:val="24"/>
        </w:rPr>
        <w:t xml:space="preserve">Alman Seyahat Birliği tarafından açıklanan verilere göre Alman turizm pazarının en büyük şirketi yüzde 17,7’lik paya sahip olan TUI </w:t>
      </w:r>
      <w:proofErr w:type="spellStart"/>
      <w:r>
        <w:rPr>
          <w:sz w:val="24"/>
          <w:szCs w:val="24"/>
        </w:rPr>
        <w:t>Deutschland</w:t>
      </w:r>
      <w:proofErr w:type="spellEnd"/>
      <w:r>
        <w:rPr>
          <w:sz w:val="24"/>
          <w:szCs w:val="24"/>
        </w:rPr>
        <w:t xml:space="preserve"> şirketi oldu. </w:t>
      </w:r>
      <w:proofErr w:type="spellStart"/>
      <w:r>
        <w:rPr>
          <w:sz w:val="24"/>
          <w:szCs w:val="24"/>
        </w:rPr>
        <w:t>TUI’yi</w:t>
      </w:r>
      <w:proofErr w:type="spellEnd"/>
      <w:r>
        <w:rPr>
          <w:sz w:val="24"/>
          <w:szCs w:val="24"/>
        </w:rPr>
        <w:t xml:space="preserve"> yüzde 13,4’lük pay ile Thomas </w:t>
      </w:r>
      <w:proofErr w:type="spellStart"/>
      <w:r>
        <w:rPr>
          <w:sz w:val="24"/>
          <w:szCs w:val="24"/>
        </w:rPr>
        <w:t>Cook</w:t>
      </w:r>
      <w:proofErr w:type="spellEnd"/>
      <w:r>
        <w:rPr>
          <w:sz w:val="24"/>
          <w:szCs w:val="24"/>
        </w:rPr>
        <w:t xml:space="preserve">, yüzde 12,5’lik pay ile DER </w:t>
      </w:r>
      <w:proofErr w:type="spellStart"/>
      <w:r>
        <w:rPr>
          <w:sz w:val="24"/>
          <w:szCs w:val="24"/>
        </w:rPr>
        <w:t>Touristik</w:t>
      </w:r>
      <w:proofErr w:type="spellEnd"/>
      <w:r>
        <w:rPr>
          <w:sz w:val="24"/>
          <w:szCs w:val="24"/>
        </w:rPr>
        <w:t xml:space="preserve"> takip etti.</w:t>
      </w:r>
    </w:p>
    <w:tbl>
      <w:tblPr>
        <w:tblStyle w:val="TabloKlavuzu"/>
        <w:tblW w:w="0" w:type="auto"/>
        <w:tblLook w:val="04A0" w:firstRow="1" w:lastRow="0" w:firstColumn="1" w:lastColumn="0" w:noHBand="0" w:noVBand="1"/>
      </w:tblPr>
      <w:tblGrid>
        <w:gridCol w:w="4605"/>
        <w:gridCol w:w="4605"/>
      </w:tblGrid>
      <w:tr w:rsidR="00F55D0E" w:rsidTr="00F55D0E">
        <w:tc>
          <w:tcPr>
            <w:tcW w:w="9210" w:type="dxa"/>
            <w:gridSpan w:val="2"/>
            <w:shd w:val="clear" w:color="auto" w:fill="17365D" w:themeFill="text2" w:themeFillShade="BF"/>
          </w:tcPr>
          <w:p w:rsidR="00F55D0E" w:rsidRPr="00F55D0E" w:rsidRDefault="00F76B5B" w:rsidP="00F76B5B">
            <w:pPr>
              <w:jc w:val="center"/>
              <w:rPr>
                <w:b/>
                <w:sz w:val="24"/>
                <w:szCs w:val="24"/>
              </w:rPr>
            </w:pPr>
            <w:r>
              <w:rPr>
                <w:b/>
                <w:sz w:val="24"/>
                <w:szCs w:val="24"/>
              </w:rPr>
              <w:t xml:space="preserve">ALMANYA’DA TUR OPERATÖRLERİNİN </w:t>
            </w:r>
            <w:r w:rsidR="00F55D0E" w:rsidRPr="00F55D0E">
              <w:rPr>
                <w:b/>
                <w:sz w:val="24"/>
                <w:szCs w:val="24"/>
              </w:rPr>
              <w:t>PAZAR PAYI DAĞILIMI</w:t>
            </w:r>
          </w:p>
        </w:tc>
      </w:tr>
      <w:tr w:rsidR="00234FF0" w:rsidTr="00F55D0E">
        <w:tc>
          <w:tcPr>
            <w:tcW w:w="4605" w:type="dxa"/>
            <w:shd w:val="clear" w:color="auto" w:fill="548DD4" w:themeFill="text2" w:themeFillTint="99"/>
          </w:tcPr>
          <w:p w:rsidR="00234FF0" w:rsidRPr="00F55D0E" w:rsidRDefault="00F55D0E" w:rsidP="00F55D0E">
            <w:pPr>
              <w:rPr>
                <w:b/>
                <w:sz w:val="24"/>
                <w:szCs w:val="24"/>
                <w:u w:val="single"/>
              </w:rPr>
            </w:pPr>
            <w:r w:rsidRPr="00F55D0E">
              <w:rPr>
                <w:b/>
                <w:sz w:val="24"/>
                <w:szCs w:val="24"/>
                <w:u w:val="single"/>
              </w:rPr>
              <w:t xml:space="preserve">TUR OPERATÖRÜ </w:t>
            </w:r>
          </w:p>
        </w:tc>
        <w:tc>
          <w:tcPr>
            <w:tcW w:w="4605" w:type="dxa"/>
            <w:shd w:val="clear" w:color="auto" w:fill="548DD4" w:themeFill="text2" w:themeFillTint="99"/>
          </w:tcPr>
          <w:p w:rsidR="00234FF0" w:rsidRPr="00F55D0E" w:rsidRDefault="00F55D0E" w:rsidP="00F55D0E">
            <w:pPr>
              <w:jc w:val="center"/>
              <w:rPr>
                <w:b/>
                <w:sz w:val="24"/>
                <w:szCs w:val="24"/>
                <w:u w:val="single"/>
              </w:rPr>
            </w:pPr>
            <w:r w:rsidRPr="00F55D0E">
              <w:rPr>
                <w:b/>
                <w:sz w:val="24"/>
                <w:szCs w:val="24"/>
                <w:u w:val="single"/>
              </w:rPr>
              <w:t>PAZAR PAYI</w:t>
            </w:r>
          </w:p>
        </w:tc>
      </w:tr>
      <w:tr w:rsidR="00234FF0" w:rsidTr="00F55D0E">
        <w:tc>
          <w:tcPr>
            <w:tcW w:w="4605" w:type="dxa"/>
            <w:shd w:val="clear" w:color="auto" w:fill="C6D9F1" w:themeFill="text2" w:themeFillTint="33"/>
          </w:tcPr>
          <w:p w:rsidR="00234FF0" w:rsidRDefault="00234FF0" w:rsidP="00F55D0E">
            <w:pPr>
              <w:rPr>
                <w:sz w:val="24"/>
                <w:szCs w:val="24"/>
              </w:rPr>
            </w:pPr>
            <w:r w:rsidRPr="00234FF0">
              <w:rPr>
                <w:sz w:val="24"/>
                <w:szCs w:val="24"/>
              </w:rPr>
              <w:t xml:space="preserve">TUI </w:t>
            </w:r>
            <w:proofErr w:type="spellStart"/>
            <w:r w:rsidRPr="00234FF0">
              <w:rPr>
                <w:sz w:val="24"/>
                <w:szCs w:val="24"/>
              </w:rPr>
              <w:t>Deutschland</w:t>
            </w:r>
            <w:proofErr w:type="spellEnd"/>
          </w:p>
        </w:tc>
        <w:tc>
          <w:tcPr>
            <w:tcW w:w="4605" w:type="dxa"/>
            <w:shd w:val="clear" w:color="auto" w:fill="C6D9F1" w:themeFill="text2" w:themeFillTint="33"/>
          </w:tcPr>
          <w:p w:rsidR="00234FF0" w:rsidRDefault="00234FF0" w:rsidP="00F55D0E">
            <w:pPr>
              <w:jc w:val="center"/>
              <w:rPr>
                <w:sz w:val="24"/>
                <w:szCs w:val="24"/>
              </w:rPr>
            </w:pPr>
            <w:r w:rsidRPr="00234FF0">
              <w:rPr>
                <w:sz w:val="24"/>
                <w:szCs w:val="24"/>
              </w:rPr>
              <w:t>17,7 %</w:t>
            </w:r>
          </w:p>
        </w:tc>
      </w:tr>
      <w:tr w:rsidR="00234FF0" w:rsidTr="00F55D0E">
        <w:tc>
          <w:tcPr>
            <w:tcW w:w="4605" w:type="dxa"/>
            <w:shd w:val="clear" w:color="auto" w:fill="C6D9F1" w:themeFill="text2" w:themeFillTint="33"/>
          </w:tcPr>
          <w:p w:rsidR="00234FF0" w:rsidRDefault="00234FF0" w:rsidP="00F55D0E">
            <w:pPr>
              <w:rPr>
                <w:sz w:val="24"/>
                <w:szCs w:val="24"/>
              </w:rPr>
            </w:pPr>
            <w:r w:rsidRPr="00234FF0">
              <w:rPr>
                <w:sz w:val="24"/>
                <w:szCs w:val="24"/>
              </w:rPr>
              <w:t xml:space="preserve">Thomas </w:t>
            </w:r>
            <w:proofErr w:type="spellStart"/>
            <w:r w:rsidRPr="00234FF0">
              <w:rPr>
                <w:sz w:val="24"/>
                <w:szCs w:val="24"/>
              </w:rPr>
              <w:t>Cook</w:t>
            </w:r>
            <w:proofErr w:type="spellEnd"/>
          </w:p>
        </w:tc>
        <w:tc>
          <w:tcPr>
            <w:tcW w:w="4605" w:type="dxa"/>
            <w:shd w:val="clear" w:color="auto" w:fill="C6D9F1" w:themeFill="text2" w:themeFillTint="33"/>
          </w:tcPr>
          <w:p w:rsidR="00234FF0" w:rsidRDefault="00F55D0E" w:rsidP="00F55D0E">
            <w:pPr>
              <w:jc w:val="center"/>
              <w:rPr>
                <w:sz w:val="24"/>
                <w:szCs w:val="24"/>
              </w:rPr>
            </w:pPr>
            <w:r>
              <w:rPr>
                <w:sz w:val="24"/>
                <w:szCs w:val="24"/>
              </w:rPr>
              <w:t>13,4 %</w:t>
            </w:r>
          </w:p>
        </w:tc>
      </w:tr>
      <w:tr w:rsidR="00234FF0" w:rsidTr="00F55D0E">
        <w:tc>
          <w:tcPr>
            <w:tcW w:w="4605" w:type="dxa"/>
            <w:shd w:val="clear" w:color="auto" w:fill="C6D9F1" w:themeFill="text2" w:themeFillTint="33"/>
          </w:tcPr>
          <w:p w:rsidR="00234FF0" w:rsidRDefault="00234FF0" w:rsidP="00F55D0E">
            <w:pPr>
              <w:rPr>
                <w:sz w:val="24"/>
                <w:szCs w:val="24"/>
              </w:rPr>
            </w:pPr>
            <w:r w:rsidRPr="00234FF0">
              <w:rPr>
                <w:sz w:val="24"/>
                <w:szCs w:val="24"/>
              </w:rPr>
              <w:t xml:space="preserve">DER </w:t>
            </w:r>
            <w:proofErr w:type="spellStart"/>
            <w:r w:rsidRPr="00234FF0">
              <w:rPr>
                <w:sz w:val="24"/>
                <w:szCs w:val="24"/>
              </w:rPr>
              <w:t>Touristik</w:t>
            </w:r>
            <w:proofErr w:type="spellEnd"/>
          </w:p>
        </w:tc>
        <w:tc>
          <w:tcPr>
            <w:tcW w:w="4605" w:type="dxa"/>
            <w:shd w:val="clear" w:color="auto" w:fill="C6D9F1" w:themeFill="text2" w:themeFillTint="33"/>
          </w:tcPr>
          <w:p w:rsidR="00234FF0" w:rsidRDefault="00F55D0E" w:rsidP="00F55D0E">
            <w:pPr>
              <w:jc w:val="center"/>
              <w:rPr>
                <w:sz w:val="24"/>
                <w:szCs w:val="24"/>
              </w:rPr>
            </w:pPr>
            <w:r w:rsidRPr="00234FF0">
              <w:rPr>
                <w:sz w:val="24"/>
                <w:szCs w:val="24"/>
              </w:rPr>
              <w:t>12,5 %</w:t>
            </w:r>
          </w:p>
        </w:tc>
      </w:tr>
      <w:tr w:rsidR="00234FF0" w:rsidTr="00F55D0E">
        <w:tc>
          <w:tcPr>
            <w:tcW w:w="4605" w:type="dxa"/>
            <w:shd w:val="clear" w:color="auto" w:fill="C6D9F1" w:themeFill="text2" w:themeFillTint="33"/>
          </w:tcPr>
          <w:p w:rsidR="00234FF0" w:rsidRDefault="00234FF0" w:rsidP="00F55D0E">
            <w:pPr>
              <w:rPr>
                <w:sz w:val="24"/>
                <w:szCs w:val="24"/>
              </w:rPr>
            </w:pPr>
            <w:r w:rsidRPr="00234FF0">
              <w:rPr>
                <w:sz w:val="24"/>
                <w:szCs w:val="24"/>
              </w:rPr>
              <w:t>FTI</w:t>
            </w:r>
          </w:p>
        </w:tc>
        <w:tc>
          <w:tcPr>
            <w:tcW w:w="4605" w:type="dxa"/>
            <w:shd w:val="clear" w:color="auto" w:fill="C6D9F1" w:themeFill="text2" w:themeFillTint="33"/>
          </w:tcPr>
          <w:p w:rsidR="00234FF0" w:rsidRDefault="00F55D0E" w:rsidP="00F55D0E">
            <w:pPr>
              <w:jc w:val="center"/>
              <w:rPr>
                <w:sz w:val="24"/>
                <w:szCs w:val="24"/>
              </w:rPr>
            </w:pPr>
            <w:r w:rsidRPr="00234FF0">
              <w:rPr>
                <w:sz w:val="24"/>
                <w:szCs w:val="24"/>
              </w:rPr>
              <w:t>7,3 %</w:t>
            </w:r>
          </w:p>
        </w:tc>
      </w:tr>
      <w:tr w:rsidR="00234FF0" w:rsidTr="00F55D0E">
        <w:tc>
          <w:tcPr>
            <w:tcW w:w="4605" w:type="dxa"/>
            <w:shd w:val="clear" w:color="auto" w:fill="C6D9F1" w:themeFill="text2" w:themeFillTint="33"/>
          </w:tcPr>
          <w:p w:rsidR="00234FF0" w:rsidRDefault="00F55D0E" w:rsidP="00F55D0E">
            <w:pPr>
              <w:rPr>
                <w:sz w:val="24"/>
                <w:szCs w:val="24"/>
              </w:rPr>
            </w:pPr>
            <w:proofErr w:type="spellStart"/>
            <w:r w:rsidRPr="00234FF0">
              <w:rPr>
                <w:sz w:val="24"/>
                <w:szCs w:val="24"/>
              </w:rPr>
              <w:t>Alltours</w:t>
            </w:r>
            <w:proofErr w:type="spellEnd"/>
          </w:p>
        </w:tc>
        <w:tc>
          <w:tcPr>
            <w:tcW w:w="4605" w:type="dxa"/>
            <w:shd w:val="clear" w:color="auto" w:fill="C6D9F1" w:themeFill="text2" w:themeFillTint="33"/>
          </w:tcPr>
          <w:p w:rsidR="00234FF0" w:rsidRDefault="00F55D0E" w:rsidP="00F55D0E">
            <w:pPr>
              <w:jc w:val="center"/>
              <w:rPr>
                <w:sz w:val="24"/>
                <w:szCs w:val="24"/>
              </w:rPr>
            </w:pPr>
            <w:r w:rsidRPr="00234FF0">
              <w:rPr>
                <w:sz w:val="24"/>
                <w:szCs w:val="24"/>
              </w:rPr>
              <w:t>5,7 %</w:t>
            </w:r>
          </w:p>
        </w:tc>
      </w:tr>
      <w:tr w:rsidR="00234FF0" w:rsidTr="00F55D0E">
        <w:tc>
          <w:tcPr>
            <w:tcW w:w="4605" w:type="dxa"/>
            <w:shd w:val="clear" w:color="auto" w:fill="C6D9F1" w:themeFill="text2" w:themeFillTint="33"/>
          </w:tcPr>
          <w:p w:rsidR="00234FF0" w:rsidRDefault="00F55D0E" w:rsidP="00F55D0E">
            <w:pPr>
              <w:rPr>
                <w:sz w:val="24"/>
                <w:szCs w:val="24"/>
              </w:rPr>
            </w:pPr>
            <w:r w:rsidRPr="00234FF0">
              <w:rPr>
                <w:sz w:val="24"/>
                <w:szCs w:val="24"/>
              </w:rPr>
              <w:t xml:space="preserve">Aida </w:t>
            </w:r>
            <w:proofErr w:type="spellStart"/>
            <w:r w:rsidRPr="00234FF0">
              <w:rPr>
                <w:sz w:val="24"/>
                <w:szCs w:val="24"/>
              </w:rPr>
              <w:t>Cruises</w:t>
            </w:r>
            <w:proofErr w:type="spellEnd"/>
          </w:p>
        </w:tc>
        <w:tc>
          <w:tcPr>
            <w:tcW w:w="4605" w:type="dxa"/>
            <w:shd w:val="clear" w:color="auto" w:fill="C6D9F1" w:themeFill="text2" w:themeFillTint="33"/>
          </w:tcPr>
          <w:p w:rsidR="00234FF0" w:rsidRDefault="00F55D0E" w:rsidP="00F55D0E">
            <w:pPr>
              <w:jc w:val="center"/>
              <w:rPr>
                <w:sz w:val="24"/>
                <w:szCs w:val="24"/>
              </w:rPr>
            </w:pPr>
            <w:r w:rsidRPr="00234FF0">
              <w:rPr>
                <w:sz w:val="24"/>
                <w:szCs w:val="24"/>
              </w:rPr>
              <w:t>4,9 %</w:t>
            </w:r>
          </w:p>
        </w:tc>
      </w:tr>
      <w:tr w:rsidR="00234FF0" w:rsidTr="00F55D0E">
        <w:tc>
          <w:tcPr>
            <w:tcW w:w="4605" w:type="dxa"/>
            <w:shd w:val="clear" w:color="auto" w:fill="C6D9F1" w:themeFill="text2" w:themeFillTint="33"/>
          </w:tcPr>
          <w:p w:rsidR="00234FF0" w:rsidRDefault="00F55D0E" w:rsidP="00F55D0E">
            <w:pPr>
              <w:rPr>
                <w:sz w:val="24"/>
                <w:szCs w:val="24"/>
              </w:rPr>
            </w:pPr>
            <w:proofErr w:type="spellStart"/>
            <w:r w:rsidRPr="00234FF0">
              <w:rPr>
                <w:sz w:val="24"/>
                <w:szCs w:val="24"/>
              </w:rPr>
              <w:t>Schauinsland</w:t>
            </w:r>
            <w:proofErr w:type="spellEnd"/>
            <w:r w:rsidRPr="00234FF0">
              <w:rPr>
                <w:sz w:val="24"/>
                <w:szCs w:val="24"/>
              </w:rPr>
              <w:t xml:space="preserve"> </w:t>
            </w:r>
            <w:proofErr w:type="spellStart"/>
            <w:r w:rsidRPr="00234FF0">
              <w:rPr>
                <w:sz w:val="24"/>
                <w:szCs w:val="24"/>
              </w:rPr>
              <w:t>Reisen</w:t>
            </w:r>
            <w:proofErr w:type="spellEnd"/>
          </w:p>
        </w:tc>
        <w:tc>
          <w:tcPr>
            <w:tcW w:w="4605" w:type="dxa"/>
            <w:shd w:val="clear" w:color="auto" w:fill="C6D9F1" w:themeFill="text2" w:themeFillTint="33"/>
          </w:tcPr>
          <w:p w:rsidR="00F55D0E" w:rsidRDefault="00F55D0E" w:rsidP="00F55D0E">
            <w:pPr>
              <w:jc w:val="center"/>
              <w:rPr>
                <w:sz w:val="24"/>
                <w:szCs w:val="24"/>
              </w:rPr>
            </w:pPr>
            <w:r w:rsidRPr="00234FF0">
              <w:rPr>
                <w:sz w:val="24"/>
                <w:szCs w:val="24"/>
              </w:rPr>
              <w:t>3,1 %</w:t>
            </w:r>
          </w:p>
        </w:tc>
      </w:tr>
      <w:tr w:rsidR="00F55D0E" w:rsidTr="00F55D0E">
        <w:tc>
          <w:tcPr>
            <w:tcW w:w="4605" w:type="dxa"/>
            <w:shd w:val="clear" w:color="auto" w:fill="C6D9F1" w:themeFill="text2" w:themeFillTint="33"/>
          </w:tcPr>
          <w:p w:rsidR="00F55D0E" w:rsidRPr="00234FF0" w:rsidRDefault="00F55D0E" w:rsidP="00F55D0E">
            <w:pPr>
              <w:rPr>
                <w:sz w:val="24"/>
                <w:szCs w:val="24"/>
              </w:rPr>
            </w:pPr>
            <w:r>
              <w:rPr>
                <w:sz w:val="24"/>
                <w:szCs w:val="24"/>
              </w:rPr>
              <w:t>Diğer</w:t>
            </w:r>
          </w:p>
        </w:tc>
        <w:tc>
          <w:tcPr>
            <w:tcW w:w="4605" w:type="dxa"/>
            <w:shd w:val="clear" w:color="auto" w:fill="C6D9F1" w:themeFill="text2" w:themeFillTint="33"/>
          </w:tcPr>
          <w:p w:rsidR="00F55D0E" w:rsidRDefault="00F55D0E" w:rsidP="00F55D0E">
            <w:pPr>
              <w:jc w:val="center"/>
              <w:rPr>
                <w:sz w:val="24"/>
                <w:szCs w:val="24"/>
              </w:rPr>
            </w:pPr>
            <w:r w:rsidRPr="00234FF0">
              <w:rPr>
                <w:sz w:val="24"/>
                <w:szCs w:val="24"/>
              </w:rPr>
              <w:t>35,4 %</w:t>
            </w:r>
          </w:p>
        </w:tc>
      </w:tr>
    </w:tbl>
    <w:p w:rsidR="00D656A3" w:rsidRDefault="00D656A3" w:rsidP="00D656A3">
      <w:pPr>
        <w:jc w:val="both"/>
        <w:rPr>
          <w:sz w:val="16"/>
          <w:szCs w:val="16"/>
        </w:rPr>
      </w:pPr>
      <w:r>
        <w:rPr>
          <w:sz w:val="16"/>
          <w:szCs w:val="16"/>
        </w:rPr>
        <w:t>* Kaynak: FVW (2012 verisi)</w:t>
      </w:r>
    </w:p>
    <w:p w:rsidR="00A95C3B" w:rsidRDefault="00A95C3B" w:rsidP="00D656A3">
      <w:pPr>
        <w:jc w:val="both"/>
        <w:rPr>
          <w:sz w:val="16"/>
          <w:szCs w:val="16"/>
        </w:rPr>
      </w:pPr>
    </w:p>
    <w:p w:rsidR="00A95C3B" w:rsidRDefault="00A95C3B" w:rsidP="00D656A3">
      <w:pPr>
        <w:jc w:val="both"/>
        <w:rPr>
          <w:sz w:val="16"/>
          <w:szCs w:val="16"/>
        </w:rPr>
      </w:pPr>
    </w:p>
    <w:p w:rsidR="00A95C3B" w:rsidRDefault="00A95C3B" w:rsidP="00D656A3">
      <w:pPr>
        <w:jc w:val="both"/>
        <w:rPr>
          <w:b/>
          <w:sz w:val="24"/>
          <w:szCs w:val="24"/>
        </w:rPr>
      </w:pPr>
    </w:p>
    <w:p w:rsidR="00EA789C" w:rsidRDefault="00EA789C" w:rsidP="00F55D0E">
      <w:pPr>
        <w:jc w:val="both"/>
        <w:rPr>
          <w:b/>
          <w:sz w:val="24"/>
          <w:szCs w:val="24"/>
        </w:rPr>
      </w:pPr>
      <w:r>
        <w:rPr>
          <w:b/>
          <w:sz w:val="24"/>
          <w:szCs w:val="24"/>
        </w:rPr>
        <w:lastRenderedPageBreak/>
        <w:t>ALMAN SEYAHAT PAZARINDA ONLINE SATIŞLARIN PAYI GELİŞİYOR</w:t>
      </w:r>
    </w:p>
    <w:p w:rsidR="00FC5FE0" w:rsidRDefault="00EA789C" w:rsidP="00F55D0E">
      <w:pPr>
        <w:jc w:val="both"/>
        <w:rPr>
          <w:sz w:val="24"/>
          <w:szCs w:val="24"/>
        </w:rPr>
      </w:pPr>
      <w:r>
        <w:rPr>
          <w:sz w:val="24"/>
          <w:szCs w:val="24"/>
        </w:rPr>
        <w:t>Alman FVW Dergisi tarafından yapılan araştırmaya göre Almanya’da etkinliği yüksek</w:t>
      </w:r>
      <w:r w:rsidR="00047884">
        <w:rPr>
          <w:sz w:val="24"/>
          <w:szCs w:val="24"/>
        </w:rPr>
        <w:t>,</w:t>
      </w:r>
      <w:r>
        <w:rPr>
          <w:sz w:val="24"/>
          <w:szCs w:val="24"/>
        </w:rPr>
        <w:t xml:space="preserve"> 30</w:t>
      </w:r>
      <w:r w:rsidR="00FC5FE0">
        <w:rPr>
          <w:sz w:val="24"/>
          <w:szCs w:val="24"/>
        </w:rPr>
        <w:t xml:space="preserve">’a yakın </w:t>
      </w:r>
      <w:proofErr w:type="gramStart"/>
      <w:r>
        <w:rPr>
          <w:sz w:val="24"/>
          <w:szCs w:val="24"/>
        </w:rPr>
        <w:t>online</w:t>
      </w:r>
      <w:proofErr w:type="gramEnd"/>
      <w:r>
        <w:rPr>
          <w:sz w:val="24"/>
          <w:szCs w:val="24"/>
        </w:rPr>
        <w:t xml:space="preserve"> tur operatörü bulunuyor. Bu tur operatörleri</w:t>
      </w:r>
      <w:r w:rsidR="00FC5FE0">
        <w:rPr>
          <w:sz w:val="24"/>
          <w:szCs w:val="24"/>
        </w:rPr>
        <w:t xml:space="preserve">; </w:t>
      </w:r>
      <w:r>
        <w:rPr>
          <w:sz w:val="24"/>
          <w:szCs w:val="24"/>
        </w:rPr>
        <w:t>gerçekleştir</w:t>
      </w:r>
      <w:r w:rsidR="00FC5FE0">
        <w:rPr>
          <w:sz w:val="24"/>
          <w:szCs w:val="24"/>
        </w:rPr>
        <w:t xml:space="preserve">dikleri uçak, otobüs, tren bileti satışları, araç kiralama hizmetleri, paket tatil satışları gibi faaliyetlerinden 8,2 milyar Euro ciro elde ettiler. </w:t>
      </w:r>
    </w:p>
    <w:p w:rsidR="00FC5FE0" w:rsidRDefault="00FC5FE0" w:rsidP="00F55D0E">
      <w:pPr>
        <w:jc w:val="both"/>
        <w:rPr>
          <w:sz w:val="24"/>
          <w:szCs w:val="24"/>
        </w:rPr>
      </w:pPr>
      <w:r>
        <w:rPr>
          <w:sz w:val="24"/>
          <w:szCs w:val="24"/>
        </w:rPr>
        <w:t xml:space="preserve">Avrupa Birliği Resmi İstatistik Kurumu </w:t>
      </w:r>
      <w:proofErr w:type="spellStart"/>
      <w:r>
        <w:rPr>
          <w:sz w:val="24"/>
          <w:szCs w:val="24"/>
        </w:rPr>
        <w:t>Eurostat</w:t>
      </w:r>
      <w:proofErr w:type="spellEnd"/>
      <w:r>
        <w:rPr>
          <w:sz w:val="24"/>
          <w:szCs w:val="24"/>
        </w:rPr>
        <w:t xml:space="preserve"> tarafından açıklanan verilere göre de Almanya seyahat pazarındaki </w:t>
      </w:r>
      <w:proofErr w:type="gramStart"/>
      <w:r>
        <w:rPr>
          <w:sz w:val="24"/>
          <w:szCs w:val="24"/>
        </w:rPr>
        <w:t>online</w:t>
      </w:r>
      <w:proofErr w:type="gramEnd"/>
      <w:r>
        <w:rPr>
          <w:sz w:val="24"/>
          <w:szCs w:val="24"/>
        </w:rPr>
        <w:t xml:space="preserve"> satışların payı artıyor. 2008 yılında </w:t>
      </w:r>
      <w:proofErr w:type="gramStart"/>
      <w:r>
        <w:rPr>
          <w:sz w:val="24"/>
          <w:szCs w:val="24"/>
        </w:rPr>
        <w:t>online</w:t>
      </w:r>
      <w:proofErr w:type="gramEnd"/>
      <w:r>
        <w:rPr>
          <w:sz w:val="24"/>
          <w:szCs w:val="24"/>
        </w:rPr>
        <w:t xml:space="preserve"> kanal üzerinden seyahat satın alan Almanların oranı yüzde 29 düzeyinde iken 2012 yılı sonunda bu oran yüzde 39’a yükseldi.</w:t>
      </w:r>
    </w:p>
    <w:p w:rsidR="00234FF0" w:rsidRPr="00234FF0" w:rsidRDefault="00234FF0" w:rsidP="00F55D0E">
      <w:pPr>
        <w:jc w:val="both"/>
        <w:rPr>
          <w:b/>
          <w:sz w:val="24"/>
          <w:szCs w:val="24"/>
        </w:rPr>
      </w:pPr>
      <w:r w:rsidRPr="00234FF0">
        <w:rPr>
          <w:b/>
          <w:sz w:val="24"/>
          <w:szCs w:val="24"/>
        </w:rPr>
        <w:t>ANTALYA ONLINE REZERVASYONLARDA LİDER</w:t>
      </w:r>
    </w:p>
    <w:p w:rsidR="00234FF0" w:rsidRDefault="00FC5FE0" w:rsidP="00F55D0E">
      <w:pPr>
        <w:jc w:val="both"/>
        <w:rPr>
          <w:sz w:val="24"/>
          <w:szCs w:val="24"/>
        </w:rPr>
      </w:pPr>
      <w:r>
        <w:rPr>
          <w:sz w:val="24"/>
          <w:szCs w:val="24"/>
        </w:rPr>
        <w:t xml:space="preserve">Online kanal üzerinden gerçekleştirilen satışların Alman seyahat pazarındaki payı artarken Antalya internet üzerinden alınan paket turlarda 2013 yılının lideri oldu. </w:t>
      </w:r>
      <w:r w:rsidR="00D656A3">
        <w:rPr>
          <w:sz w:val="24"/>
          <w:szCs w:val="24"/>
        </w:rPr>
        <w:t>“</w:t>
      </w:r>
      <w:proofErr w:type="spellStart"/>
      <w:r w:rsidR="00D656A3" w:rsidRPr="00D656A3">
        <w:rPr>
          <w:sz w:val="24"/>
          <w:szCs w:val="24"/>
        </w:rPr>
        <w:t>Traveltainment</w:t>
      </w:r>
      <w:proofErr w:type="spellEnd"/>
      <w:r w:rsidR="00D656A3" w:rsidRPr="00D656A3">
        <w:rPr>
          <w:sz w:val="24"/>
          <w:szCs w:val="24"/>
        </w:rPr>
        <w:t xml:space="preserve"> Top 10 </w:t>
      </w:r>
      <w:proofErr w:type="spellStart"/>
      <w:r w:rsidR="00D656A3" w:rsidRPr="00D656A3">
        <w:rPr>
          <w:sz w:val="24"/>
          <w:szCs w:val="24"/>
        </w:rPr>
        <w:t>Analyse</w:t>
      </w:r>
      <w:proofErr w:type="spellEnd"/>
      <w:r w:rsidR="00D656A3" w:rsidRPr="00D656A3">
        <w:rPr>
          <w:sz w:val="24"/>
          <w:szCs w:val="24"/>
        </w:rPr>
        <w:t xml:space="preserve"> 2013</w:t>
      </w:r>
      <w:r w:rsidR="00D656A3">
        <w:rPr>
          <w:sz w:val="24"/>
          <w:szCs w:val="24"/>
        </w:rPr>
        <w:t xml:space="preserve">” adlı araştırmaya göre; </w:t>
      </w:r>
      <w:r>
        <w:rPr>
          <w:sz w:val="24"/>
          <w:szCs w:val="24"/>
        </w:rPr>
        <w:t xml:space="preserve">Antalya’nın </w:t>
      </w:r>
      <w:proofErr w:type="gramStart"/>
      <w:r>
        <w:rPr>
          <w:sz w:val="24"/>
          <w:szCs w:val="24"/>
        </w:rPr>
        <w:t>online</w:t>
      </w:r>
      <w:proofErr w:type="gramEnd"/>
      <w:r>
        <w:rPr>
          <w:sz w:val="24"/>
          <w:szCs w:val="24"/>
        </w:rPr>
        <w:t xml:space="preserve"> satışlardaki payı yüzde 20 düzeyinde gerçekleşti. </w:t>
      </w:r>
      <w:r w:rsidR="00543629">
        <w:rPr>
          <w:sz w:val="24"/>
          <w:szCs w:val="24"/>
        </w:rPr>
        <w:t xml:space="preserve">Antalya’yı yüzde 17’lik satışla </w:t>
      </w:r>
      <w:proofErr w:type="spellStart"/>
      <w:r w:rsidR="00543629" w:rsidRPr="00543629">
        <w:rPr>
          <w:sz w:val="24"/>
          <w:szCs w:val="24"/>
        </w:rPr>
        <w:t>Palma</w:t>
      </w:r>
      <w:proofErr w:type="spellEnd"/>
      <w:r w:rsidR="00543629" w:rsidRPr="00543629">
        <w:rPr>
          <w:sz w:val="24"/>
          <w:szCs w:val="24"/>
        </w:rPr>
        <w:t xml:space="preserve"> de </w:t>
      </w:r>
      <w:proofErr w:type="spellStart"/>
      <w:r w:rsidR="00543629" w:rsidRPr="00543629">
        <w:rPr>
          <w:sz w:val="24"/>
          <w:szCs w:val="24"/>
        </w:rPr>
        <w:t>Mallorca</w:t>
      </w:r>
      <w:proofErr w:type="spellEnd"/>
      <w:r w:rsidR="00543629">
        <w:rPr>
          <w:sz w:val="24"/>
          <w:szCs w:val="24"/>
        </w:rPr>
        <w:t xml:space="preserve"> takip etti.</w:t>
      </w:r>
    </w:p>
    <w:p w:rsidR="00D656A3" w:rsidRDefault="00CB6F6F" w:rsidP="00F55D0E">
      <w:pPr>
        <w:jc w:val="both"/>
        <w:rPr>
          <w:sz w:val="24"/>
          <w:szCs w:val="24"/>
        </w:rPr>
      </w:pPr>
      <w:r>
        <w:rPr>
          <w:noProof/>
          <w:sz w:val="24"/>
          <w:szCs w:val="24"/>
          <w:lang w:eastAsia="tr-TR"/>
        </w:rPr>
        <w:drawing>
          <wp:inline distT="0" distB="0" distL="0" distR="0" wp14:anchorId="2997A823" wp14:editId="3A1A14CA">
            <wp:extent cx="5486400" cy="3200400"/>
            <wp:effectExtent l="0" t="0" r="19050" b="19050"/>
            <wp:docPr id="14" name="Grafik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656A3" w:rsidRDefault="00D656A3" w:rsidP="00D656A3">
      <w:pPr>
        <w:jc w:val="both"/>
        <w:rPr>
          <w:b/>
          <w:sz w:val="24"/>
          <w:szCs w:val="24"/>
        </w:rPr>
      </w:pPr>
      <w:r>
        <w:rPr>
          <w:sz w:val="16"/>
          <w:szCs w:val="16"/>
        </w:rPr>
        <w:t xml:space="preserve">* Kaynak: </w:t>
      </w:r>
      <w:proofErr w:type="spellStart"/>
      <w:r w:rsidRPr="00D656A3">
        <w:rPr>
          <w:sz w:val="16"/>
          <w:szCs w:val="16"/>
        </w:rPr>
        <w:t>Traveltainment</w:t>
      </w:r>
      <w:proofErr w:type="spellEnd"/>
      <w:r w:rsidRPr="00D656A3">
        <w:rPr>
          <w:sz w:val="16"/>
          <w:szCs w:val="16"/>
        </w:rPr>
        <w:t xml:space="preserve"> Top 10 </w:t>
      </w:r>
      <w:proofErr w:type="spellStart"/>
      <w:r w:rsidRPr="00D656A3">
        <w:rPr>
          <w:sz w:val="16"/>
          <w:szCs w:val="16"/>
        </w:rPr>
        <w:t>Analyse</w:t>
      </w:r>
      <w:proofErr w:type="spellEnd"/>
      <w:r w:rsidRPr="00D656A3">
        <w:rPr>
          <w:sz w:val="16"/>
          <w:szCs w:val="16"/>
        </w:rPr>
        <w:t xml:space="preserve"> 2013</w:t>
      </w:r>
    </w:p>
    <w:p w:rsidR="00D656A3" w:rsidRPr="00C809EC" w:rsidRDefault="00D656A3" w:rsidP="00D656A3">
      <w:pPr>
        <w:pStyle w:val="Default"/>
        <w:jc w:val="both"/>
        <w:rPr>
          <w:b/>
        </w:rPr>
      </w:pPr>
      <w:r>
        <w:rPr>
          <w:b/>
        </w:rPr>
        <w:t>ALMANYA</w:t>
      </w:r>
      <w:r w:rsidRPr="00C809EC">
        <w:rPr>
          <w:b/>
        </w:rPr>
        <w:t>’YA GİDEN TÜRK TURİST SAYISI</w:t>
      </w:r>
      <w:r>
        <w:rPr>
          <w:b/>
        </w:rPr>
        <w:t xml:space="preserve"> DÜŞÜYOR</w:t>
      </w:r>
    </w:p>
    <w:p w:rsidR="00D656A3" w:rsidRPr="00C809EC" w:rsidRDefault="00D656A3" w:rsidP="00D656A3">
      <w:pPr>
        <w:pStyle w:val="Default"/>
        <w:jc w:val="both"/>
      </w:pPr>
    </w:p>
    <w:p w:rsidR="00D656A3" w:rsidRDefault="00D656A3" w:rsidP="00D656A3">
      <w:pPr>
        <w:pStyle w:val="Default"/>
        <w:jc w:val="both"/>
      </w:pPr>
      <w:r w:rsidRPr="00C809EC">
        <w:t xml:space="preserve">Türkiye İstatistik Kurumu verilerine göre </w:t>
      </w:r>
      <w:r>
        <w:t xml:space="preserve">Almanya yurtdışı çıkışlarında Türk vatandaşlarının en çok tercih ettikleri </w:t>
      </w:r>
      <w:proofErr w:type="gramStart"/>
      <w:r>
        <w:t>destinasyonlar</w:t>
      </w:r>
      <w:proofErr w:type="gramEnd"/>
      <w:r>
        <w:t xml:space="preserve"> arasında yer alıyor. Bununla birlikte son üç yıllık dönemde Almanya’ya giden Türk turist sayısında ciddi bir düşüş yaşanıyor. Almanya’ya giden </w:t>
      </w:r>
      <w:r w:rsidRPr="00C809EC">
        <w:t>Türk vatandaşlarının sayısı 201</w:t>
      </w:r>
      <w:r>
        <w:t>1</w:t>
      </w:r>
      <w:r w:rsidRPr="00C809EC">
        <w:t xml:space="preserve"> yılında </w:t>
      </w:r>
      <w:r>
        <w:t>425 bin düzeyinde iken 2012’de 383 bine, 2013 yılında ise 315 bin seviyesine gerilemiş durumda.</w:t>
      </w:r>
    </w:p>
    <w:p w:rsidR="00D656A3" w:rsidRDefault="00D656A3" w:rsidP="00D656A3">
      <w:pPr>
        <w:pStyle w:val="Default"/>
        <w:jc w:val="both"/>
      </w:pPr>
    </w:p>
    <w:tbl>
      <w:tblPr>
        <w:tblStyle w:val="TabloKlavuzu"/>
        <w:tblW w:w="0" w:type="auto"/>
        <w:tblInd w:w="108" w:type="dxa"/>
        <w:tblLook w:val="04A0" w:firstRow="1" w:lastRow="0" w:firstColumn="1" w:lastColumn="0" w:noHBand="0" w:noVBand="1"/>
      </w:tblPr>
      <w:tblGrid>
        <w:gridCol w:w="985"/>
        <w:gridCol w:w="5126"/>
      </w:tblGrid>
      <w:tr w:rsidR="005C3587" w:rsidTr="00D656A3">
        <w:trPr>
          <w:trHeight w:val="403"/>
        </w:trPr>
        <w:tc>
          <w:tcPr>
            <w:tcW w:w="6111" w:type="dxa"/>
            <w:gridSpan w:val="2"/>
            <w:shd w:val="clear" w:color="auto" w:fill="C2D69B" w:themeFill="accent3" w:themeFillTint="99"/>
          </w:tcPr>
          <w:p w:rsidR="005C3587" w:rsidRPr="00C809EC" w:rsidRDefault="005C3587" w:rsidP="005C3587">
            <w:pPr>
              <w:pStyle w:val="Default"/>
              <w:jc w:val="both"/>
              <w:rPr>
                <w:b/>
              </w:rPr>
            </w:pPr>
            <w:r>
              <w:rPr>
                <w:b/>
              </w:rPr>
              <w:t>ALMANYA’YA</w:t>
            </w:r>
            <w:r w:rsidRPr="00C809EC">
              <w:rPr>
                <w:b/>
              </w:rPr>
              <w:t xml:space="preserve"> GİDEN TÜRK TURİST SAYISI</w:t>
            </w:r>
          </w:p>
        </w:tc>
      </w:tr>
      <w:tr w:rsidR="005C3587" w:rsidTr="00D656A3">
        <w:trPr>
          <w:trHeight w:val="360"/>
        </w:trPr>
        <w:tc>
          <w:tcPr>
            <w:tcW w:w="985" w:type="dxa"/>
          </w:tcPr>
          <w:p w:rsidR="005C3587" w:rsidRPr="00513237" w:rsidRDefault="005C3587" w:rsidP="00D00F51">
            <w:pPr>
              <w:pStyle w:val="Default"/>
              <w:jc w:val="both"/>
            </w:pPr>
            <w:r>
              <w:t>2011</w:t>
            </w:r>
          </w:p>
        </w:tc>
        <w:tc>
          <w:tcPr>
            <w:tcW w:w="5126" w:type="dxa"/>
          </w:tcPr>
          <w:p w:rsidR="005C3587" w:rsidRPr="00513237" w:rsidRDefault="00D656A3" w:rsidP="00D656A3">
            <w:pPr>
              <w:pStyle w:val="Default"/>
              <w:jc w:val="both"/>
            </w:pPr>
            <w:r>
              <w:t>425</w:t>
            </w:r>
            <w:r w:rsidR="005C3587" w:rsidRPr="00513237">
              <w:t xml:space="preserve"> bin </w:t>
            </w:r>
            <w:r>
              <w:t>428</w:t>
            </w:r>
            <w:r w:rsidR="005C3587" w:rsidRPr="00513237">
              <w:t xml:space="preserve"> kişi</w:t>
            </w:r>
          </w:p>
        </w:tc>
      </w:tr>
      <w:tr w:rsidR="005C3587" w:rsidTr="00D656A3">
        <w:trPr>
          <w:trHeight w:val="382"/>
        </w:trPr>
        <w:tc>
          <w:tcPr>
            <w:tcW w:w="985" w:type="dxa"/>
          </w:tcPr>
          <w:p w:rsidR="005C3587" w:rsidRPr="00513237" w:rsidRDefault="005C3587" w:rsidP="00D00F51">
            <w:pPr>
              <w:pStyle w:val="Default"/>
              <w:jc w:val="both"/>
            </w:pPr>
            <w:r>
              <w:t>2012</w:t>
            </w:r>
          </w:p>
        </w:tc>
        <w:tc>
          <w:tcPr>
            <w:tcW w:w="5126" w:type="dxa"/>
          </w:tcPr>
          <w:p w:rsidR="005C3587" w:rsidRPr="00513237" w:rsidRDefault="005C3587" w:rsidP="005C3587">
            <w:pPr>
              <w:pStyle w:val="Default"/>
              <w:jc w:val="both"/>
            </w:pPr>
            <w:r>
              <w:t>383</w:t>
            </w:r>
            <w:r w:rsidRPr="00513237">
              <w:t xml:space="preserve"> bin 4</w:t>
            </w:r>
            <w:r>
              <w:t>72</w:t>
            </w:r>
            <w:r w:rsidRPr="00513237">
              <w:t xml:space="preserve"> kişi</w:t>
            </w:r>
          </w:p>
        </w:tc>
      </w:tr>
      <w:tr w:rsidR="005C3587" w:rsidTr="00D656A3">
        <w:trPr>
          <w:trHeight w:val="382"/>
        </w:trPr>
        <w:tc>
          <w:tcPr>
            <w:tcW w:w="985" w:type="dxa"/>
          </w:tcPr>
          <w:p w:rsidR="005C3587" w:rsidRPr="00513237" w:rsidRDefault="005C3587" w:rsidP="00D00F51">
            <w:pPr>
              <w:pStyle w:val="Default"/>
              <w:jc w:val="both"/>
            </w:pPr>
            <w:r>
              <w:t>2013</w:t>
            </w:r>
          </w:p>
        </w:tc>
        <w:tc>
          <w:tcPr>
            <w:tcW w:w="5126" w:type="dxa"/>
          </w:tcPr>
          <w:p w:rsidR="005C3587" w:rsidRPr="00513237" w:rsidRDefault="005C3587" w:rsidP="005C3587">
            <w:pPr>
              <w:pStyle w:val="Default"/>
              <w:jc w:val="both"/>
            </w:pPr>
            <w:r>
              <w:t>315</w:t>
            </w:r>
            <w:r w:rsidRPr="00513237">
              <w:t xml:space="preserve"> bin </w:t>
            </w:r>
            <w:r>
              <w:t>384</w:t>
            </w:r>
            <w:r w:rsidRPr="00513237">
              <w:t xml:space="preserve"> kişi</w:t>
            </w:r>
          </w:p>
        </w:tc>
      </w:tr>
    </w:tbl>
    <w:p w:rsidR="00D656A3" w:rsidRDefault="00D656A3" w:rsidP="00D656A3">
      <w:pPr>
        <w:jc w:val="both"/>
        <w:rPr>
          <w:b/>
          <w:sz w:val="24"/>
          <w:szCs w:val="24"/>
        </w:rPr>
      </w:pPr>
      <w:r>
        <w:rPr>
          <w:sz w:val="16"/>
          <w:szCs w:val="16"/>
        </w:rPr>
        <w:t xml:space="preserve">* Kaynak: </w:t>
      </w:r>
      <w:r w:rsidRPr="00D656A3">
        <w:rPr>
          <w:sz w:val="16"/>
          <w:szCs w:val="16"/>
        </w:rPr>
        <w:t>T</w:t>
      </w:r>
      <w:r>
        <w:rPr>
          <w:sz w:val="16"/>
          <w:szCs w:val="16"/>
        </w:rPr>
        <w:t>ÜİK</w:t>
      </w:r>
    </w:p>
    <w:p w:rsidR="00911855" w:rsidRPr="00727C87" w:rsidRDefault="00801EDA" w:rsidP="00F55D0E">
      <w:pPr>
        <w:jc w:val="both"/>
        <w:rPr>
          <w:b/>
          <w:sz w:val="24"/>
          <w:szCs w:val="24"/>
        </w:rPr>
      </w:pPr>
      <w:r>
        <w:rPr>
          <w:b/>
          <w:sz w:val="24"/>
          <w:szCs w:val="24"/>
        </w:rPr>
        <w:lastRenderedPageBreak/>
        <w:t xml:space="preserve">ITB BERLİN </w:t>
      </w:r>
      <w:r w:rsidR="00727C87" w:rsidRPr="00727C87">
        <w:rPr>
          <w:b/>
          <w:sz w:val="24"/>
          <w:szCs w:val="24"/>
        </w:rPr>
        <w:t>6,5 MİLYAR EURO’LUK İŞ HACMİ OLUŞTURDU</w:t>
      </w:r>
    </w:p>
    <w:p w:rsidR="00CF6B96" w:rsidRDefault="00911855" w:rsidP="00F55D0E">
      <w:pPr>
        <w:jc w:val="both"/>
        <w:rPr>
          <w:sz w:val="24"/>
          <w:szCs w:val="24"/>
        </w:rPr>
      </w:pPr>
      <w:r>
        <w:rPr>
          <w:sz w:val="24"/>
          <w:szCs w:val="24"/>
        </w:rPr>
        <w:t xml:space="preserve">Bu yıl 5-9 Mart tarihleri arasında gerçekleştirilen ITB Berlin Fuarı’na 189 ülkeden 10 bin 147 katılımcı iştirak etti. </w:t>
      </w:r>
      <w:r w:rsidR="00CF6B96">
        <w:rPr>
          <w:sz w:val="24"/>
          <w:szCs w:val="24"/>
        </w:rPr>
        <w:t xml:space="preserve">160 bin metrekarelik alana yayılan </w:t>
      </w:r>
      <w:r>
        <w:rPr>
          <w:sz w:val="24"/>
          <w:szCs w:val="24"/>
        </w:rPr>
        <w:t>26 holün tamamı dolarken fuar</w:t>
      </w:r>
      <w:r w:rsidR="00CF6B96">
        <w:rPr>
          <w:sz w:val="24"/>
          <w:szCs w:val="24"/>
        </w:rPr>
        <w:t>ın</w:t>
      </w:r>
      <w:r>
        <w:rPr>
          <w:sz w:val="24"/>
          <w:szCs w:val="24"/>
        </w:rPr>
        <w:t xml:space="preserve"> 5 gün </w:t>
      </w:r>
      <w:r w:rsidR="00CF6B96">
        <w:rPr>
          <w:sz w:val="24"/>
          <w:szCs w:val="24"/>
        </w:rPr>
        <w:t xml:space="preserve">süresince ağırladığı </w:t>
      </w:r>
      <w:r>
        <w:rPr>
          <w:sz w:val="24"/>
          <w:szCs w:val="24"/>
        </w:rPr>
        <w:t>profesyonel ziyaretçi sayısı 2013 yılına göre yüzde 4’lük artışla 114 bin seviyesine ulaştı.</w:t>
      </w:r>
    </w:p>
    <w:p w:rsidR="0016333D" w:rsidRDefault="00F76B5B" w:rsidP="0016333D">
      <w:pPr>
        <w:jc w:val="both"/>
        <w:rPr>
          <w:sz w:val="24"/>
          <w:szCs w:val="24"/>
        </w:rPr>
      </w:pPr>
      <w:r>
        <w:rPr>
          <w:noProof/>
          <w:sz w:val="24"/>
          <w:szCs w:val="24"/>
          <w:lang w:eastAsia="tr-TR"/>
        </w:rPr>
        <w:drawing>
          <wp:inline distT="0" distB="0" distL="0" distR="0">
            <wp:extent cx="2799923" cy="1574358"/>
            <wp:effectExtent l="0" t="0" r="635" b="6985"/>
            <wp:docPr id="1" name="Resim 1" descr="C:\Users\fatih.gonul\Desktop\itb berlin\CAM001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h.gonul\Desktop\itb berlin\CAM00146.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06428" cy="1578016"/>
                    </a:xfrm>
                    <a:prstGeom prst="rect">
                      <a:avLst/>
                    </a:prstGeom>
                    <a:noFill/>
                    <a:ln>
                      <a:noFill/>
                    </a:ln>
                  </pic:spPr>
                </pic:pic>
              </a:graphicData>
            </a:graphic>
          </wp:inline>
        </w:drawing>
      </w:r>
      <w:r w:rsidR="0016333D">
        <w:rPr>
          <w:noProof/>
          <w:sz w:val="24"/>
          <w:szCs w:val="24"/>
          <w:lang w:eastAsia="tr-TR"/>
        </w:rPr>
        <w:drawing>
          <wp:inline distT="0" distB="0" distL="0" distR="0" wp14:anchorId="396B8340" wp14:editId="6C96FC19">
            <wp:extent cx="2881423" cy="1578337"/>
            <wp:effectExtent l="0" t="0" r="0" b="3175"/>
            <wp:docPr id="16" name="Resim 16" descr="C:\Users\fatih.gonul\Desktop\itb berlin\CAM001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fatih.gonul\Desktop\itb berlin\CAM0013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89085" cy="1582534"/>
                    </a:xfrm>
                    <a:prstGeom prst="rect">
                      <a:avLst/>
                    </a:prstGeom>
                    <a:noFill/>
                    <a:ln>
                      <a:noFill/>
                    </a:ln>
                  </pic:spPr>
                </pic:pic>
              </a:graphicData>
            </a:graphic>
          </wp:inline>
        </w:drawing>
      </w:r>
    </w:p>
    <w:p w:rsidR="00EC014C" w:rsidRDefault="00EC014C" w:rsidP="00EC014C">
      <w:pPr>
        <w:jc w:val="both"/>
        <w:rPr>
          <w:sz w:val="24"/>
          <w:szCs w:val="24"/>
        </w:rPr>
      </w:pPr>
      <w:r>
        <w:rPr>
          <w:sz w:val="24"/>
          <w:szCs w:val="24"/>
        </w:rPr>
        <w:t xml:space="preserve">Dünyanın en büyük turizm fuarı konumunda bulunan ITB Berlin’in 6,5 milyar </w:t>
      </w:r>
      <w:proofErr w:type="spellStart"/>
      <w:r>
        <w:rPr>
          <w:sz w:val="24"/>
          <w:szCs w:val="24"/>
        </w:rPr>
        <w:t>Euro’luk</w:t>
      </w:r>
      <w:proofErr w:type="spellEnd"/>
      <w:r>
        <w:rPr>
          <w:sz w:val="24"/>
          <w:szCs w:val="24"/>
        </w:rPr>
        <w:t xml:space="preserve"> (Yaklaşık 9 milyar $) iş hacmi oluşturduğu açıklandı.</w:t>
      </w:r>
    </w:p>
    <w:p w:rsidR="00D96636" w:rsidRDefault="00D96636" w:rsidP="00D96636">
      <w:pPr>
        <w:jc w:val="both"/>
        <w:rPr>
          <w:sz w:val="24"/>
          <w:szCs w:val="24"/>
        </w:rPr>
      </w:pPr>
      <w:r>
        <w:rPr>
          <w:sz w:val="24"/>
          <w:szCs w:val="24"/>
        </w:rPr>
        <w:t xml:space="preserve">Türkiye, fuara 3 bin 79 metrekarelik alana yayılan </w:t>
      </w:r>
      <w:r w:rsidRPr="00234FF0">
        <w:rPr>
          <w:sz w:val="24"/>
          <w:szCs w:val="24"/>
        </w:rPr>
        <w:t xml:space="preserve">104 ana </w:t>
      </w:r>
      <w:proofErr w:type="spellStart"/>
      <w:r w:rsidRPr="00234FF0">
        <w:rPr>
          <w:sz w:val="24"/>
          <w:szCs w:val="24"/>
        </w:rPr>
        <w:t>stan</w:t>
      </w:r>
      <w:r>
        <w:rPr>
          <w:sz w:val="24"/>
          <w:szCs w:val="24"/>
        </w:rPr>
        <w:t>d</w:t>
      </w:r>
      <w:proofErr w:type="spellEnd"/>
      <w:r>
        <w:rPr>
          <w:sz w:val="24"/>
          <w:szCs w:val="24"/>
        </w:rPr>
        <w:t xml:space="preserve"> ve 124 katılımcı ile iştirak etti. Lale formundaki </w:t>
      </w:r>
      <w:proofErr w:type="spellStart"/>
      <w:r>
        <w:rPr>
          <w:sz w:val="24"/>
          <w:szCs w:val="24"/>
        </w:rPr>
        <w:t>stand</w:t>
      </w:r>
      <w:proofErr w:type="spellEnd"/>
      <w:r>
        <w:rPr>
          <w:sz w:val="24"/>
          <w:szCs w:val="24"/>
        </w:rPr>
        <w:t xml:space="preserve"> tasarımları Kapadokya, İstanbul, Antalya, İzmir ve Adana başlıklı bölümler altında oluşturuldu.</w:t>
      </w:r>
    </w:p>
    <w:p w:rsidR="00D41663" w:rsidRDefault="00D41663" w:rsidP="00D41663">
      <w:pPr>
        <w:jc w:val="both"/>
        <w:rPr>
          <w:sz w:val="24"/>
          <w:szCs w:val="24"/>
        </w:rPr>
      </w:pPr>
      <w:r w:rsidRPr="0016333D">
        <w:rPr>
          <w:sz w:val="24"/>
          <w:szCs w:val="24"/>
        </w:rPr>
        <w:t>Türkiye standında TÜRSAB başta olmak üzere Türkiye’deki turizm sektörünü temsil eden kurum ve kuruluşlar</w:t>
      </w:r>
      <w:r>
        <w:rPr>
          <w:sz w:val="24"/>
          <w:szCs w:val="24"/>
        </w:rPr>
        <w:t xml:space="preserve"> temsil edilirken </w:t>
      </w:r>
      <w:r w:rsidRPr="00235B47">
        <w:rPr>
          <w:sz w:val="24"/>
          <w:szCs w:val="24"/>
        </w:rPr>
        <w:t xml:space="preserve">TÜRSAB standında, ziyaretçilere TÜRSAB ve Müze dergilerinin çeşitli sayıları, İstanbul Arkeoloji Müzesi Broşürleri, </w:t>
      </w:r>
      <w:r>
        <w:rPr>
          <w:sz w:val="24"/>
          <w:szCs w:val="24"/>
        </w:rPr>
        <w:t xml:space="preserve">İstanbul </w:t>
      </w:r>
      <w:proofErr w:type="spellStart"/>
      <w:r>
        <w:rPr>
          <w:sz w:val="24"/>
          <w:szCs w:val="24"/>
        </w:rPr>
        <w:t>Shopping</w:t>
      </w:r>
      <w:proofErr w:type="spellEnd"/>
      <w:r>
        <w:rPr>
          <w:sz w:val="24"/>
          <w:szCs w:val="24"/>
        </w:rPr>
        <w:t xml:space="preserve"> </w:t>
      </w:r>
      <w:proofErr w:type="spellStart"/>
      <w:r>
        <w:rPr>
          <w:sz w:val="24"/>
          <w:szCs w:val="24"/>
        </w:rPr>
        <w:t>Fest</w:t>
      </w:r>
      <w:proofErr w:type="spellEnd"/>
      <w:r>
        <w:rPr>
          <w:sz w:val="24"/>
          <w:szCs w:val="24"/>
        </w:rPr>
        <w:t xml:space="preserve"> broşürleri, </w:t>
      </w:r>
      <w:r w:rsidRPr="00235B47">
        <w:rPr>
          <w:sz w:val="24"/>
          <w:szCs w:val="24"/>
        </w:rPr>
        <w:t xml:space="preserve">Travel </w:t>
      </w:r>
      <w:proofErr w:type="spellStart"/>
      <w:r w:rsidRPr="00235B47">
        <w:rPr>
          <w:sz w:val="24"/>
          <w:szCs w:val="24"/>
        </w:rPr>
        <w:t>Turkey</w:t>
      </w:r>
      <w:proofErr w:type="spellEnd"/>
      <w:r w:rsidRPr="00235B47">
        <w:rPr>
          <w:sz w:val="24"/>
          <w:szCs w:val="24"/>
        </w:rPr>
        <w:t xml:space="preserve"> İzmir 2014 Fuarı broşürleri, “</w:t>
      </w:r>
      <w:proofErr w:type="spellStart"/>
      <w:r w:rsidRPr="00235B47">
        <w:rPr>
          <w:sz w:val="24"/>
          <w:szCs w:val="24"/>
        </w:rPr>
        <w:t>Where</w:t>
      </w:r>
      <w:proofErr w:type="spellEnd"/>
      <w:r w:rsidRPr="00235B47">
        <w:rPr>
          <w:sz w:val="24"/>
          <w:szCs w:val="24"/>
        </w:rPr>
        <w:t xml:space="preserve"> </w:t>
      </w:r>
      <w:proofErr w:type="spellStart"/>
      <w:r w:rsidRPr="00235B47">
        <w:rPr>
          <w:sz w:val="24"/>
          <w:szCs w:val="24"/>
        </w:rPr>
        <w:t>Istanbul</w:t>
      </w:r>
      <w:proofErr w:type="spellEnd"/>
      <w:r w:rsidRPr="00235B47">
        <w:rPr>
          <w:sz w:val="24"/>
          <w:szCs w:val="24"/>
        </w:rPr>
        <w:t>” dergisinin çeşitli sayıları, TÜRSAB CD’leri dağıtıl</w:t>
      </w:r>
      <w:r>
        <w:rPr>
          <w:sz w:val="24"/>
          <w:szCs w:val="24"/>
        </w:rPr>
        <w:t xml:space="preserve">dı. TÜRSAB standında ayrıca fuara katılan TÜRSAB üyesi seyahat </w:t>
      </w:r>
      <w:proofErr w:type="spellStart"/>
      <w:r>
        <w:rPr>
          <w:sz w:val="24"/>
          <w:szCs w:val="24"/>
        </w:rPr>
        <w:t>acentalarının</w:t>
      </w:r>
      <w:proofErr w:type="spellEnd"/>
      <w:r>
        <w:rPr>
          <w:sz w:val="24"/>
          <w:szCs w:val="24"/>
        </w:rPr>
        <w:t xml:space="preserve"> broşür ve kartları sergilendi.</w:t>
      </w:r>
      <w:r w:rsidRPr="00D41663">
        <w:rPr>
          <w:sz w:val="24"/>
          <w:szCs w:val="24"/>
        </w:rPr>
        <w:t xml:space="preserve"> </w:t>
      </w:r>
    </w:p>
    <w:p w:rsidR="00D41663" w:rsidRDefault="00D41663" w:rsidP="00D41663">
      <w:pPr>
        <w:jc w:val="both"/>
        <w:rPr>
          <w:sz w:val="24"/>
          <w:szCs w:val="24"/>
        </w:rPr>
      </w:pPr>
      <w:r>
        <w:rPr>
          <w:sz w:val="24"/>
          <w:szCs w:val="24"/>
        </w:rPr>
        <w:t xml:space="preserve">Fuar süresince diğer ülke </w:t>
      </w:r>
      <w:proofErr w:type="spellStart"/>
      <w:r w:rsidRPr="00C729F3">
        <w:rPr>
          <w:sz w:val="24"/>
          <w:szCs w:val="24"/>
        </w:rPr>
        <w:t>standlar</w:t>
      </w:r>
      <w:r>
        <w:rPr>
          <w:sz w:val="24"/>
          <w:szCs w:val="24"/>
        </w:rPr>
        <w:t>ı</w:t>
      </w:r>
      <w:proofErr w:type="spellEnd"/>
      <w:r>
        <w:rPr>
          <w:sz w:val="24"/>
          <w:szCs w:val="24"/>
        </w:rPr>
        <w:t xml:space="preserve"> </w:t>
      </w:r>
      <w:r w:rsidRPr="00C729F3">
        <w:rPr>
          <w:sz w:val="24"/>
          <w:szCs w:val="24"/>
        </w:rPr>
        <w:t xml:space="preserve">ziyaret edilerek, </w:t>
      </w:r>
      <w:r>
        <w:rPr>
          <w:sz w:val="24"/>
          <w:szCs w:val="24"/>
        </w:rPr>
        <w:t>TÜRSAB’ın “</w:t>
      </w:r>
      <w:r w:rsidRPr="00C729F3">
        <w:rPr>
          <w:sz w:val="24"/>
          <w:szCs w:val="24"/>
        </w:rPr>
        <w:t>5 yılda 60 Ülke Projesi</w:t>
      </w:r>
      <w:r>
        <w:rPr>
          <w:sz w:val="24"/>
          <w:szCs w:val="24"/>
        </w:rPr>
        <w:t>”</w:t>
      </w:r>
      <w:r w:rsidRPr="00C729F3">
        <w:rPr>
          <w:sz w:val="24"/>
          <w:szCs w:val="24"/>
        </w:rPr>
        <w:t xml:space="preserve"> çerçevesinde </w:t>
      </w:r>
      <w:r>
        <w:rPr>
          <w:sz w:val="24"/>
          <w:szCs w:val="24"/>
        </w:rPr>
        <w:t>g</w:t>
      </w:r>
      <w:r w:rsidRPr="00C729F3">
        <w:rPr>
          <w:sz w:val="24"/>
          <w:szCs w:val="24"/>
        </w:rPr>
        <w:t xml:space="preserve">örüşmeler </w:t>
      </w:r>
      <w:r>
        <w:rPr>
          <w:sz w:val="24"/>
          <w:szCs w:val="24"/>
        </w:rPr>
        <w:t xml:space="preserve">gerçekleştirilirken Travel </w:t>
      </w:r>
      <w:proofErr w:type="spellStart"/>
      <w:r>
        <w:rPr>
          <w:sz w:val="24"/>
          <w:szCs w:val="24"/>
        </w:rPr>
        <w:t>Turkey</w:t>
      </w:r>
      <w:proofErr w:type="spellEnd"/>
      <w:r>
        <w:rPr>
          <w:sz w:val="24"/>
          <w:szCs w:val="24"/>
        </w:rPr>
        <w:t xml:space="preserve"> İzmir Fuarı’na ilişkin broşürler dağıtılarak tanıtılmış ve Travel </w:t>
      </w:r>
      <w:proofErr w:type="spellStart"/>
      <w:r>
        <w:rPr>
          <w:sz w:val="24"/>
          <w:szCs w:val="24"/>
        </w:rPr>
        <w:t>Turkey</w:t>
      </w:r>
      <w:proofErr w:type="spellEnd"/>
      <w:r>
        <w:rPr>
          <w:sz w:val="24"/>
          <w:szCs w:val="24"/>
        </w:rPr>
        <w:t xml:space="preserve"> İzmir Fuarı’na katılım sağlanması için çalışmalar gerçekleştirilmiştir.</w:t>
      </w:r>
    </w:p>
    <w:p w:rsidR="00EC014C" w:rsidRDefault="00D96636" w:rsidP="0016333D">
      <w:pPr>
        <w:jc w:val="both"/>
        <w:rPr>
          <w:sz w:val="24"/>
          <w:szCs w:val="24"/>
        </w:rPr>
      </w:pPr>
      <w:r>
        <w:rPr>
          <w:noProof/>
          <w:sz w:val="24"/>
          <w:szCs w:val="24"/>
          <w:lang w:eastAsia="tr-TR"/>
        </w:rPr>
        <w:drawing>
          <wp:inline distT="0" distB="0" distL="0" distR="0" wp14:anchorId="3BB11471" wp14:editId="136A0C38">
            <wp:extent cx="2934586" cy="1552353"/>
            <wp:effectExtent l="0" t="0" r="0" b="0"/>
            <wp:docPr id="17" name="Resim 17" descr="C:\Users\fatih.gonul\Desktop\itb berlin\YENİ\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fatih.gonul\Desktop\itb berlin\YENİ\5.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45019" cy="1557872"/>
                    </a:xfrm>
                    <a:prstGeom prst="rect">
                      <a:avLst/>
                    </a:prstGeom>
                    <a:noFill/>
                    <a:ln>
                      <a:noFill/>
                    </a:ln>
                  </pic:spPr>
                </pic:pic>
              </a:graphicData>
            </a:graphic>
          </wp:inline>
        </w:drawing>
      </w:r>
      <w:r w:rsidR="005260AB">
        <w:rPr>
          <w:noProof/>
          <w:lang w:eastAsia="tr-TR"/>
        </w:rPr>
        <w:drawing>
          <wp:inline distT="0" distB="0" distL="0" distR="0" wp14:anchorId="6CE0D8D1" wp14:editId="08EAB946">
            <wp:extent cx="2743200" cy="1550688"/>
            <wp:effectExtent l="0" t="0" r="0" b="0"/>
            <wp:docPr id="3" name="Resim 3" descr="C:\Users\fatih.gonul\AppData\Local\Microsoft\Windows\Temporary Internet Files\Content.Word\IMG_4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h.gonul\AppData\Local\Microsoft\Windows\Temporary Internet Files\Content.Word\IMG_4407.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43200" cy="1550688"/>
                    </a:xfrm>
                    <a:prstGeom prst="rect">
                      <a:avLst/>
                    </a:prstGeom>
                    <a:noFill/>
                    <a:ln>
                      <a:noFill/>
                    </a:ln>
                  </pic:spPr>
                </pic:pic>
              </a:graphicData>
            </a:graphic>
          </wp:inline>
        </w:drawing>
      </w:r>
    </w:p>
    <w:p w:rsidR="00D41663" w:rsidRDefault="00D41663" w:rsidP="00D41663">
      <w:pPr>
        <w:jc w:val="both"/>
        <w:rPr>
          <w:sz w:val="24"/>
          <w:szCs w:val="24"/>
        </w:rPr>
      </w:pPr>
      <w:r>
        <w:rPr>
          <w:sz w:val="24"/>
          <w:szCs w:val="24"/>
        </w:rPr>
        <w:t xml:space="preserve">Fuarın ilk günü Avrupa Birliği Bakanı ve </w:t>
      </w:r>
      <w:proofErr w:type="spellStart"/>
      <w:r>
        <w:rPr>
          <w:sz w:val="24"/>
          <w:szCs w:val="24"/>
        </w:rPr>
        <w:t>Başmüzakereci</w:t>
      </w:r>
      <w:proofErr w:type="spellEnd"/>
      <w:r>
        <w:rPr>
          <w:sz w:val="24"/>
          <w:szCs w:val="24"/>
        </w:rPr>
        <w:t xml:space="preserve"> Sayın </w:t>
      </w:r>
      <w:proofErr w:type="spellStart"/>
      <w:r>
        <w:rPr>
          <w:sz w:val="24"/>
          <w:szCs w:val="24"/>
        </w:rPr>
        <w:t>Mevlüt</w:t>
      </w:r>
      <w:proofErr w:type="spellEnd"/>
      <w:r>
        <w:rPr>
          <w:sz w:val="24"/>
          <w:szCs w:val="24"/>
        </w:rPr>
        <w:t xml:space="preserve"> Çavuşoğlu, Kültür ve Turizm Bakan Yardımcısı Sayın Abdurrahman Arıcı ve Berlin Kültür ve Tanıtma Müşaviri Sayın Gözde Şahin TÜRSAB standını ziyaret etmişlerdir.</w:t>
      </w:r>
    </w:p>
    <w:p w:rsidR="00EC014C" w:rsidRDefault="00EC014C" w:rsidP="0016333D">
      <w:pPr>
        <w:jc w:val="both"/>
        <w:rPr>
          <w:sz w:val="24"/>
          <w:szCs w:val="24"/>
        </w:rPr>
      </w:pPr>
    </w:p>
    <w:p w:rsidR="0069098F" w:rsidRDefault="0069098F" w:rsidP="0016333D">
      <w:pPr>
        <w:jc w:val="both"/>
        <w:rPr>
          <w:sz w:val="24"/>
          <w:szCs w:val="24"/>
        </w:rPr>
      </w:pPr>
      <w:r>
        <w:rPr>
          <w:noProof/>
          <w:sz w:val="24"/>
          <w:szCs w:val="24"/>
          <w:lang w:eastAsia="tr-TR"/>
        </w:rPr>
        <w:lastRenderedPageBreak/>
        <w:drawing>
          <wp:inline distT="0" distB="0" distL="0" distR="0" wp14:anchorId="713BA616" wp14:editId="185F7F99">
            <wp:extent cx="2855482" cy="1605600"/>
            <wp:effectExtent l="0" t="0" r="2540" b="0"/>
            <wp:docPr id="24" name="Resim 24" descr="C:\Users\fatih.gonul\Desktop\itb berlin\CAM001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fatih.gonul\Desktop\itb berlin\CAM0012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55482" cy="1605600"/>
                    </a:xfrm>
                    <a:prstGeom prst="rect">
                      <a:avLst/>
                    </a:prstGeom>
                    <a:noFill/>
                    <a:ln>
                      <a:noFill/>
                    </a:ln>
                  </pic:spPr>
                </pic:pic>
              </a:graphicData>
            </a:graphic>
          </wp:inline>
        </w:drawing>
      </w:r>
      <w:r w:rsidRPr="0069098F">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005260AB">
        <w:rPr>
          <w:b/>
          <w:noProof/>
          <w:sz w:val="24"/>
          <w:szCs w:val="24"/>
          <w:lang w:eastAsia="tr-TR"/>
        </w:rPr>
        <w:drawing>
          <wp:inline distT="0" distB="0" distL="0" distR="0" wp14:anchorId="1547A808" wp14:editId="7905EAC8">
            <wp:extent cx="2852727" cy="1605517"/>
            <wp:effectExtent l="0" t="0" r="5080" b="0"/>
            <wp:docPr id="10" name="Resim 10" descr="C:\Users\fatih.gonul\Desktop\itb berlin\CAM0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fatih.gonul\Desktop\itb berlin\CAM00122.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61324" cy="1610355"/>
                    </a:xfrm>
                    <a:prstGeom prst="rect">
                      <a:avLst/>
                    </a:prstGeom>
                    <a:noFill/>
                    <a:ln>
                      <a:noFill/>
                    </a:ln>
                  </pic:spPr>
                </pic:pic>
              </a:graphicData>
            </a:graphic>
          </wp:inline>
        </w:drawing>
      </w:r>
    </w:p>
    <w:p w:rsidR="0072769D" w:rsidRDefault="0016333D" w:rsidP="0016333D">
      <w:pPr>
        <w:jc w:val="both"/>
        <w:rPr>
          <w:sz w:val="24"/>
          <w:szCs w:val="24"/>
        </w:rPr>
      </w:pPr>
      <w:r>
        <w:rPr>
          <w:sz w:val="24"/>
          <w:szCs w:val="24"/>
        </w:rPr>
        <w:t>Fuar öncesinde Berlin Büyükelçiliği tarafından A</w:t>
      </w:r>
      <w:r w:rsidR="00F76B5B">
        <w:rPr>
          <w:sz w:val="24"/>
          <w:szCs w:val="24"/>
        </w:rPr>
        <w:t xml:space="preserve">vrupa </w:t>
      </w:r>
      <w:r>
        <w:rPr>
          <w:sz w:val="24"/>
          <w:szCs w:val="24"/>
        </w:rPr>
        <w:t>B</w:t>
      </w:r>
      <w:r w:rsidR="00D41663">
        <w:rPr>
          <w:sz w:val="24"/>
          <w:szCs w:val="24"/>
        </w:rPr>
        <w:t xml:space="preserve">irliği Bakanı ve </w:t>
      </w:r>
      <w:proofErr w:type="spellStart"/>
      <w:r w:rsidR="00D41663">
        <w:rPr>
          <w:sz w:val="24"/>
          <w:szCs w:val="24"/>
        </w:rPr>
        <w:t>Başm</w:t>
      </w:r>
      <w:r w:rsidR="00F76B5B">
        <w:rPr>
          <w:sz w:val="24"/>
          <w:szCs w:val="24"/>
        </w:rPr>
        <w:t>üzakereci</w:t>
      </w:r>
      <w:proofErr w:type="spellEnd"/>
      <w:r w:rsidR="00F76B5B">
        <w:rPr>
          <w:sz w:val="24"/>
          <w:szCs w:val="24"/>
        </w:rPr>
        <w:t xml:space="preserve"> </w:t>
      </w:r>
      <w:proofErr w:type="spellStart"/>
      <w:r>
        <w:rPr>
          <w:sz w:val="24"/>
          <w:szCs w:val="24"/>
        </w:rPr>
        <w:t>Mevlüt</w:t>
      </w:r>
      <w:proofErr w:type="spellEnd"/>
      <w:r>
        <w:rPr>
          <w:sz w:val="24"/>
          <w:szCs w:val="24"/>
        </w:rPr>
        <w:t xml:space="preserve"> Çavuşoğlu onuruna verilen </w:t>
      </w:r>
      <w:proofErr w:type="gramStart"/>
      <w:r>
        <w:rPr>
          <w:sz w:val="24"/>
          <w:szCs w:val="24"/>
        </w:rPr>
        <w:t>resepsiyona</w:t>
      </w:r>
      <w:proofErr w:type="gramEnd"/>
      <w:r>
        <w:rPr>
          <w:sz w:val="24"/>
          <w:szCs w:val="24"/>
        </w:rPr>
        <w:t xml:space="preserve"> </w:t>
      </w:r>
      <w:r w:rsidRPr="005759B6">
        <w:rPr>
          <w:sz w:val="24"/>
          <w:szCs w:val="24"/>
        </w:rPr>
        <w:t xml:space="preserve">TÜRSAB’ı temsilen </w:t>
      </w:r>
      <w:r w:rsidR="00F76B5B">
        <w:rPr>
          <w:sz w:val="24"/>
          <w:szCs w:val="24"/>
        </w:rPr>
        <w:t xml:space="preserve">katılım gerçekleştirilmiştir. </w:t>
      </w:r>
      <w:r w:rsidR="0072769D">
        <w:rPr>
          <w:sz w:val="24"/>
          <w:szCs w:val="24"/>
        </w:rPr>
        <w:t xml:space="preserve">Etkinlikte </w:t>
      </w:r>
      <w:r>
        <w:rPr>
          <w:sz w:val="24"/>
          <w:szCs w:val="24"/>
        </w:rPr>
        <w:t xml:space="preserve">Sayın </w:t>
      </w:r>
      <w:proofErr w:type="spellStart"/>
      <w:r>
        <w:rPr>
          <w:sz w:val="24"/>
          <w:szCs w:val="24"/>
        </w:rPr>
        <w:t>Mevlüt</w:t>
      </w:r>
      <w:proofErr w:type="spellEnd"/>
      <w:r>
        <w:rPr>
          <w:sz w:val="24"/>
          <w:szCs w:val="24"/>
        </w:rPr>
        <w:t xml:space="preserve"> Çavuşoğlu ve Berlin Büyükelçisi </w:t>
      </w:r>
      <w:r w:rsidRPr="0016333D">
        <w:rPr>
          <w:sz w:val="24"/>
          <w:szCs w:val="24"/>
        </w:rPr>
        <w:t>Hüseyin Avni Karslıoğlu</w:t>
      </w:r>
      <w:r>
        <w:rPr>
          <w:sz w:val="24"/>
          <w:szCs w:val="24"/>
        </w:rPr>
        <w:t>’na Türkiye’nin tur</w:t>
      </w:r>
      <w:r w:rsidR="0072769D">
        <w:rPr>
          <w:sz w:val="24"/>
          <w:szCs w:val="24"/>
        </w:rPr>
        <w:t>izm</w:t>
      </w:r>
      <w:r>
        <w:rPr>
          <w:sz w:val="24"/>
          <w:szCs w:val="24"/>
        </w:rPr>
        <w:t xml:space="preserve"> zenginliğini tanıtan kitaplar </w:t>
      </w:r>
      <w:r w:rsidR="0072769D">
        <w:rPr>
          <w:sz w:val="24"/>
          <w:szCs w:val="24"/>
        </w:rPr>
        <w:t>takdim edilmiştir.</w:t>
      </w:r>
    </w:p>
    <w:p w:rsidR="0022352B" w:rsidRDefault="005260AB" w:rsidP="0016333D">
      <w:pPr>
        <w:jc w:val="both"/>
        <w:rPr>
          <w:sz w:val="24"/>
          <w:szCs w:val="24"/>
        </w:rPr>
      </w:pPr>
      <w:r>
        <w:rPr>
          <w:noProof/>
          <w:sz w:val="24"/>
          <w:szCs w:val="24"/>
          <w:lang w:eastAsia="tr-TR"/>
        </w:rPr>
        <w:drawing>
          <wp:inline distT="0" distB="0" distL="0" distR="0" wp14:anchorId="51D18CFB" wp14:editId="6F1A4F80">
            <wp:extent cx="2860159" cy="1600791"/>
            <wp:effectExtent l="0" t="0" r="0" b="0"/>
            <wp:docPr id="25" name="Resim 25" descr="C:\Users\fatih.gonul\Desktop\itb berlin\CAM001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fatih.gonul\Desktop\itb berlin\CAM0013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76129" cy="1609729"/>
                    </a:xfrm>
                    <a:prstGeom prst="rect">
                      <a:avLst/>
                    </a:prstGeom>
                    <a:noFill/>
                    <a:ln>
                      <a:noFill/>
                    </a:ln>
                  </pic:spPr>
                </pic:pic>
              </a:graphicData>
            </a:graphic>
          </wp:inline>
        </w:drawing>
      </w:r>
      <w:r w:rsidR="0022352B">
        <w:rPr>
          <w:noProof/>
          <w:sz w:val="24"/>
          <w:szCs w:val="24"/>
          <w:lang w:eastAsia="tr-TR"/>
        </w:rPr>
        <w:drawing>
          <wp:inline distT="0" distB="0" distL="0" distR="0" wp14:anchorId="5F68C4EE" wp14:editId="5157B9CC">
            <wp:extent cx="2753832" cy="1601739"/>
            <wp:effectExtent l="0" t="0" r="8890" b="0"/>
            <wp:docPr id="4" name="Resim 4" descr="C:\Users\fatih.gonul\Desktop\itb berlin\YENİ\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tih.gonul\Desktop\itb berlin\YENİ\6.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54281" cy="1602000"/>
                    </a:xfrm>
                    <a:prstGeom prst="rect">
                      <a:avLst/>
                    </a:prstGeom>
                    <a:noFill/>
                    <a:ln>
                      <a:noFill/>
                    </a:ln>
                  </pic:spPr>
                </pic:pic>
              </a:graphicData>
            </a:graphic>
          </wp:inline>
        </w:drawing>
      </w:r>
    </w:p>
    <w:p w:rsidR="0022352B" w:rsidRDefault="0022352B" w:rsidP="0016333D">
      <w:pPr>
        <w:jc w:val="both"/>
        <w:rPr>
          <w:sz w:val="24"/>
          <w:szCs w:val="24"/>
        </w:rPr>
      </w:pPr>
      <w:bookmarkStart w:id="0" w:name="_GoBack"/>
      <w:bookmarkEnd w:id="0"/>
    </w:p>
    <w:p w:rsidR="0072769D" w:rsidRPr="0072769D" w:rsidRDefault="0072769D" w:rsidP="0072769D">
      <w:pPr>
        <w:jc w:val="both"/>
        <w:rPr>
          <w:b/>
          <w:sz w:val="24"/>
          <w:szCs w:val="24"/>
        </w:rPr>
      </w:pPr>
      <w:r w:rsidRPr="0072769D">
        <w:rPr>
          <w:b/>
          <w:sz w:val="24"/>
          <w:szCs w:val="24"/>
        </w:rPr>
        <w:t>2014 ALMANYA PAZAR BEKLENTİLERİ</w:t>
      </w:r>
    </w:p>
    <w:p w:rsidR="0069098F" w:rsidRDefault="0069098F" w:rsidP="0072769D">
      <w:pPr>
        <w:jc w:val="both"/>
        <w:rPr>
          <w:sz w:val="24"/>
          <w:szCs w:val="24"/>
        </w:rPr>
      </w:pPr>
      <w:r>
        <w:rPr>
          <w:sz w:val="24"/>
          <w:szCs w:val="24"/>
        </w:rPr>
        <w:t>-</w:t>
      </w:r>
      <w:r>
        <w:rPr>
          <w:sz w:val="24"/>
          <w:szCs w:val="24"/>
        </w:rPr>
        <w:tab/>
        <w:t>Alman ekonomisindeki istikrarlı büyümenin 2014 ve 2015’te de devam edecek olması nedeniyle turizmdeki beklentiler de olumlu yönde seyretti.</w:t>
      </w:r>
    </w:p>
    <w:p w:rsidR="0069098F" w:rsidRDefault="0069098F" w:rsidP="0069098F">
      <w:pPr>
        <w:jc w:val="both"/>
        <w:rPr>
          <w:sz w:val="24"/>
          <w:szCs w:val="24"/>
        </w:rPr>
      </w:pPr>
      <w:r>
        <w:rPr>
          <w:sz w:val="24"/>
          <w:szCs w:val="24"/>
        </w:rPr>
        <w:t>-</w:t>
      </w:r>
      <w:r>
        <w:rPr>
          <w:sz w:val="24"/>
          <w:szCs w:val="24"/>
        </w:rPr>
        <w:tab/>
        <w:t xml:space="preserve">Yaşanan olumlu havanın da etkisiyle ITB Berlin Fuarı süresince yaklaşık 6,5 milyar </w:t>
      </w:r>
      <w:proofErr w:type="spellStart"/>
      <w:r>
        <w:rPr>
          <w:sz w:val="24"/>
          <w:szCs w:val="24"/>
        </w:rPr>
        <w:t>Euro’luk</w:t>
      </w:r>
      <w:proofErr w:type="spellEnd"/>
      <w:r>
        <w:rPr>
          <w:sz w:val="24"/>
          <w:szCs w:val="24"/>
        </w:rPr>
        <w:t xml:space="preserve"> iş hacmi</w:t>
      </w:r>
      <w:r w:rsidR="00047884">
        <w:rPr>
          <w:sz w:val="24"/>
          <w:szCs w:val="24"/>
        </w:rPr>
        <w:t>nin</w:t>
      </w:r>
      <w:r>
        <w:rPr>
          <w:sz w:val="24"/>
          <w:szCs w:val="24"/>
        </w:rPr>
        <w:t xml:space="preserve"> oluştuğu açıklandı.</w:t>
      </w:r>
    </w:p>
    <w:p w:rsidR="00047884" w:rsidRDefault="00047884" w:rsidP="00047884">
      <w:pPr>
        <w:jc w:val="both"/>
        <w:rPr>
          <w:sz w:val="24"/>
          <w:szCs w:val="24"/>
        </w:rPr>
      </w:pPr>
      <w:r w:rsidRPr="0072769D">
        <w:rPr>
          <w:sz w:val="24"/>
          <w:szCs w:val="24"/>
        </w:rPr>
        <w:t>-</w:t>
      </w:r>
      <w:r w:rsidRPr="0072769D">
        <w:rPr>
          <w:sz w:val="24"/>
          <w:szCs w:val="24"/>
        </w:rPr>
        <w:tab/>
      </w:r>
      <w:r>
        <w:rPr>
          <w:sz w:val="24"/>
          <w:szCs w:val="24"/>
        </w:rPr>
        <w:t>Türkiye’ye en çok turist gönderen ülke konumunda bulunan Almanya’dan ülkemize olan turistik talebin 2014 yılında da artışla kapatılması bekleniyor.</w:t>
      </w:r>
    </w:p>
    <w:p w:rsidR="0069098F" w:rsidRDefault="0069098F" w:rsidP="0072769D">
      <w:pPr>
        <w:jc w:val="both"/>
        <w:rPr>
          <w:sz w:val="24"/>
          <w:szCs w:val="24"/>
        </w:rPr>
      </w:pPr>
      <w:r>
        <w:rPr>
          <w:sz w:val="24"/>
          <w:szCs w:val="24"/>
        </w:rPr>
        <w:t>-</w:t>
      </w:r>
      <w:r>
        <w:rPr>
          <w:sz w:val="24"/>
          <w:szCs w:val="24"/>
        </w:rPr>
        <w:tab/>
        <w:t>Türk Lirası’nın Euro karşısında yaşadığı değer kaybının Almanya’dan Türkiye’ye yönelik seyahat talebini arttırması bekleniyor.</w:t>
      </w:r>
    </w:p>
    <w:p w:rsidR="0072769D" w:rsidRDefault="0072769D" w:rsidP="0072769D">
      <w:pPr>
        <w:jc w:val="both"/>
        <w:rPr>
          <w:sz w:val="24"/>
          <w:szCs w:val="24"/>
        </w:rPr>
      </w:pPr>
      <w:r w:rsidRPr="0072769D">
        <w:rPr>
          <w:sz w:val="24"/>
          <w:szCs w:val="24"/>
        </w:rPr>
        <w:t>-</w:t>
      </w:r>
      <w:r w:rsidRPr="0072769D">
        <w:rPr>
          <w:sz w:val="24"/>
          <w:szCs w:val="24"/>
        </w:rPr>
        <w:tab/>
      </w:r>
      <w:r>
        <w:rPr>
          <w:sz w:val="24"/>
          <w:szCs w:val="24"/>
        </w:rPr>
        <w:t xml:space="preserve">Kültür ve Turizm Bakan Yardımcısı Sayın Abdurrahman Arıcı katıldığı basın toplantısında Türkiye’ye gelecek Alman turist sayısında 2014 yılında yüzde 4-8 </w:t>
      </w:r>
      <w:proofErr w:type="gramStart"/>
      <w:r>
        <w:rPr>
          <w:sz w:val="24"/>
          <w:szCs w:val="24"/>
        </w:rPr>
        <w:t>aralığında</w:t>
      </w:r>
      <w:proofErr w:type="gramEnd"/>
      <w:r>
        <w:rPr>
          <w:sz w:val="24"/>
          <w:szCs w:val="24"/>
        </w:rPr>
        <w:t xml:space="preserve"> artış beklendiğini açıkladı.</w:t>
      </w:r>
    </w:p>
    <w:p w:rsidR="0072769D" w:rsidRDefault="0072769D" w:rsidP="0072769D">
      <w:pPr>
        <w:jc w:val="both"/>
        <w:rPr>
          <w:sz w:val="24"/>
          <w:szCs w:val="24"/>
        </w:rPr>
      </w:pPr>
      <w:r>
        <w:rPr>
          <w:sz w:val="24"/>
          <w:szCs w:val="24"/>
        </w:rPr>
        <w:t>-</w:t>
      </w:r>
      <w:r>
        <w:rPr>
          <w:sz w:val="24"/>
          <w:szCs w:val="24"/>
        </w:rPr>
        <w:tab/>
        <w:t xml:space="preserve">Fuar süresince gerçekleştirilen görüşmelerde Türk turizmcilerin genel beklentisinin Sayın Arıcı’nın beklentisi ile örtüştüğü gözlemlendi. Genel beklenti yüzde </w:t>
      </w:r>
      <w:r w:rsidR="00047884">
        <w:rPr>
          <w:sz w:val="24"/>
          <w:szCs w:val="24"/>
        </w:rPr>
        <w:t>4</w:t>
      </w:r>
      <w:r w:rsidR="00492715">
        <w:rPr>
          <w:sz w:val="24"/>
          <w:szCs w:val="24"/>
        </w:rPr>
        <w:t xml:space="preserve"> ila </w:t>
      </w:r>
      <w:r w:rsidR="00047884">
        <w:rPr>
          <w:sz w:val="24"/>
          <w:szCs w:val="24"/>
        </w:rPr>
        <w:t>6</w:t>
      </w:r>
      <w:r>
        <w:rPr>
          <w:sz w:val="24"/>
          <w:szCs w:val="24"/>
        </w:rPr>
        <w:t xml:space="preserve"> </w:t>
      </w:r>
      <w:proofErr w:type="gramStart"/>
      <w:r w:rsidR="00492715">
        <w:rPr>
          <w:sz w:val="24"/>
          <w:szCs w:val="24"/>
        </w:rPr>
        <w:t>aralığında</w:t>
      </w:r>
      <w:proofErr w:type="gramEnd"/>
      <w:r w:rsidR="00492715">
        <w:rPr>
          <w:sz w:val="24"/>
          <w:szCs w:val="24"/>
        </w:rPr>
        <w:t xml:space="preserve"> </w:t>
      </w:r>
      <w:r>
        <w:rPr>
          <w:sz w:val="24"/>
          <w:szCs w:val="24"/>
        </w:rPr>
        <w:t>artış yaşanacağı yönünde oldu.</w:t>
      </w:r>
    </w:p>
    <w:p w:rsidR="00492715" w:rsidRDefault="0069098F" w:rsidP="0069098F">
      <w:pPr>
        <w:jc w:val="both"/>
        <w:rPr>
          <w:sz w:val="24"/>
          <w:szCs w:val="24"/>
        </w:rPr>
      </w:pPr>
      <w:r>
        <w:rPr>
          <w:sz w:val="24"/>
          <w:szCs w:val="24"/>
        </w:rPr>
        <w:t>-</w:t>
      </w:r>
      <w:r>
        <w:rPr>
          <w:sz w:val="24"/>
          <w:szCs w:val="24"/>
        </w:rPr>
        <w:tab/>
        <w:t>Almanya’nın önde gelen tur operatörleri</w:t>
      </w:r>
      <w:r w:rsidR="00492715">
        <w:rPr>
          <w:sz w:val="24"/>
          <w:szCs w:val="24"/>
        </w:rPr>
        <w:t xml:space="preserve">nden gelen yaz sezonu rezervasyon verileri de </w:t>
      </w:r>
      <w:r>
        <w:rPr>
          <w:sz w:val="24"/>
          <w:szCs w:val="24"/>
        </w:rPr>
        <w:t>2014 yılında Türkiye’ye yönelik talebin yükseleceği yönünde</w:t>
      </w:r>
      <w:r w:rsidR="00492715">
        <w:rPr>
          <w:sz w:val="24"/>
          <w:szCs w:val="24"/>
        </w:rPr>
        <w:t xml:space="preserve">ki </w:t>
      </w:r>
      <w:r>
        <w:rPr>
          <w:sz w:val="24"/>
          <w:szCs w:val="24"/>
        </w:rPr>
        <w:t>ortak görüş</w:t>
      </w:r>
      <w:r w:rsidR="00492715">
        <w:rPr>
          <w:sz w:val="24"/>
          <w:szCs w:val="24"/>
        </w:rPr>
        <w:t xml:space="preserve">ü destekledi. </w:t>
      </w:r>
    </w:p>
    <w:p w:rsidR="007028FD" w:rsidRDefault="007028FD" w:rsidP="0069098F">
      <w:pPr>
        <w:jc w:val="both"/>
        <w:rPr>
          <w:sz w:val="24"/>
          <w:szCs w:val="24"/>
        </w:rPr>
      </w:pPr>
      <w:r>
        <w:rPr>
          <w:sz w:val="24"/>
          <w:szCs w:val="24"/>
        </w:rPr>
        <w:t>-</w:t>
      </w:r>
      <w:r>
        <w:rPr>
          <w:sz w:val="24"/>
          <w:szCs w:val="24"/>
        </w:rPr>
        <w:tab/>
        <w:t xml:space="preserve">2013 yılında Alman turist sayısında ciddi artış yaşayan Yunanistan’ın 2014 yılı beklentisi de yüksek. ITB Berlin’de Yunanistan’ın bulunduğu hol ciddi bir kalabalığa </w:t>
      </w:r>
      <w:r w:rsidR="00492715">
        <w:rPr>
          <w:sz w:val="24"/>
          <w:szCs w:val="24"/>
        </w:rPr>
        <w:t xml:space="preserve">sahne </w:t>
      </w:r>
      <w:r w:rsidR="00492715">
        <w:rPr>
          <w:sz w:val="24"/>
          <w:szCs w:val="24"/>
        </w:rPr>
        <w:lastRenderedPageBreak/>
        <w:t xml:space="preserve">olurken </w:t>
      </w:r>
      <w:r>
        <w:rPr>
          <w:sz w:val="24"/>
          <w:szCs w:val="24"/>
        </w:rPr>
        <w:t xml:space="preserve">görüşleri alınan Yunan turizmcilerin Alman pazarından beklentisi yüzde 10-15 </w:t>
      </w:r>
      <w:proofErr w:type="gramStart"/>
      <w:r>
        <w:rPr>
          <w:sz w:val="24"/>
          <w:szCs w:val="24"/>
        </w:rPr>
        <w:t>aralığında</w:t>
      </w:r>
      <w:proofErr w:type="gramEnd"/>
      <w:r>
        <w:rPr>
          <w:sz w:val="24"/>
          <w:szCs w:val="24"/>
        </w:rPr>
        <w:t xml:space="preserve"> artış yaşanacağı yönünde oldu.</w:t>
      </w:r>
    </w:p>
    <w:p w:rsidR="007028FD" w:rsidRDefault="007028FD" w:rsidP="0069098F">
      <w:pPr>
        <w:jc w:val="both"/>
        <w:rPr>
          <w:sz w:val="24"/>
          <w:szCs w:val="24"/>
        </w:rPr>
      </w:pPr>
      <w:r>
        <w:rPr>
          <w:sz w:val="24"/>
          <w:szCs w:val="24"/>
        </w:rPr>
        <w:t>-</w:t>
      </w:r>
      <w:r>
        <w:rPr>
          <w:sz w:val="24"/>
          <w:szCs w:val="24"/>
        </w:rPr>
        <w:tab/>
        <w:t xml:space="preserve">2013 yılında 9 milyon 854 bin Alman turist ağırlayan İspanya da ITB Berlin’den umutlu çıktı. 2014 yılında 10 milyon Alman turist sayısını geride bırakmayı </w:t>
      </w:r>
      <w:r w:rsidR="00654B9B">
        <w:rPr>
          <w:sz w:val="24"/>
          <w:szCs w:val="24"/>
        </w:rPr>
        <w:t>hedefleyen</w:t>
      </w:r>
      <w:r>
        <w:rPr>
          <w:sz w:val="24"/>
          <w:szCs w:val="24"/>
        </w:rPr>
        <w:t xml:space="preserve"> İspanyol turizmcilerin Alman pazarından beklediği artış oranı </w:t>
      </w:r>
      <w:r w:rsidR="00492715">
        <w:rPr>
          <w:sz w:val="24"/>
          <w:szCs w:val="24"/>
        </w:rPr>
        <w:t xml:space="preserve">ise </w:t>
      </w:r>
      <w:r>
        <w:rPr>
          <w:sz w:val="24"/>
          <w:szCs w:val="24"/>
        </w:rPr>
        <w:t xml:space="preserve">yüzde 3-6 </w:t>
      </w:r>
      <w:proofErr w:type="gramStart"/>
      <w:r>
        <w:rPr>
          <w:sz w:val="24"/>
          <w:szCs w:val="24"/>
        </w:rPr>
        <w:t>aralığında</w:t>
      </w:r>
      <w:proofErr w:type="gramEnd"/>
      <w:r w:rsidR="002F0447">
        <w:rPr>
          <w:sz w:val="24"/>
          <w:szCs w:val="24"/>
        </w:rPr>
        <w:t xml:space="preserve"> oldu</w:t>
      </w:r>
      <w:r>
        <w:rPr>
          <w:sz w:val="24"/>
          <w:szCs w:val="24"/>
        </w:rPr>
        <w:t>.</w:t>
      </w:r>
    </w:p>
    <w:p w:rsidR="008235D1" w:rsidRPr="004E4848" w:rsidRDefault="008235D1" w:rsidP="0016333D">
      <w:pPr>
        <w:jc w:val="both"/>
      </w:pPr>
    </w:p>
    <w:sectPr w:rsidR="008235D1" w:rsidRPr="004E4848" w:rsidSect="00A95C3B">
      <w:pgSz w:w="11906" w:h="16838"/>
      <w:pgMar w:top="709" w:right="1418"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02FF" w:usb1="4000ACFF" w:usb2="00000001" w:usb3="00000000" w:csb0="0000019F" w:csb1="00000000"/>
  </w:font>
  <w:font w:name="Courier New">
    <w:panose1 w:val="02070309020205020404"/>
    <w:charset w:val="A2"/>
    <w:family w:val="modern"/>
    <w:pitch w:val="fixed"/>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364F66"/>
    <w:multiLevelType w:val="hybridMultilevel"/>
    <w:tmpl w:val="4C5020EC"/>
    <w:lvl w:ilvl="0" w:tplc="BE229DD4">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1B4E4629"/>
    <w:multiLevelType w:val="multilevel"/>
    <w:tmpl w:val="CE983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AA45F0"/>
    <w:multiLevelType w:val="hybridMultilevel"/>
    <w:tmpl w:val="3672130C"/>
    <w:lvl w:ilvl="0" w:tplc="0478ADA6">
      <w:start w:val="2013"/>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ADC70A9"/>
    <w:multiLevelType w:val="multilevel"/>
    <w:tmpl w:val="BFAE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A5327E1"/>
    <w:multiLevelType w:val="multilevel"/>
    <w:tmpl w:val="33DE4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D4042FC"/>
    <w:multiLevelType w:val="hybridMultilevel"/>
    <w:tmpl w:val="CB146F8C"/>
    <w:lvl w:ilvl="0" w:tplc="9CA27A72">
      <w:start w:val="3"/>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6D0F3543"/>
    <w:multiLevelType w:val="multilevel"/>
    <w:tmpl w:val="26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6"/>
  </w:num>
  <w:num w:numId="4">
    <w:abstractNumId w:val="1"/>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34C6"/>
    <w:rsid w:val="000033BA"/>
    <w:rsid w:val="0000496E"/>
    <w:rsid w:val="00024963"/>
    <w:rsid w:val="000266CD"/>
    <w:rsid w:val="000462FD"/>
    <w:rsid w:val="00047884"/>
    <w:rsid w:val="00056B74"/>
    <w:rsid w:val="00060081"/>
    <w:rsid w:val="0006153E"/>
    <w:rsid w:val="000934C6"/>
    <w:rsid w:val="000B187B"/>
    <w:rsid w:val="000B1F85"/>
    <w:rsid w:val="000C7A6E"/>
    <w:rsid w:val="000E0D2A"/>
    <w:rsid w:val="000F2484"/>
    <w:rsid w:val="0010419E"/>
    <w:rsid w:val="001346CF"/>
    <w:rsid w:val="00140AA0"/>
    <w:rsid w:val="00140BD1"/>
    <w:rsid w:val="0016333D"/>
    <w:rsid w:val="001A6E59"/>
    <w:rsid w:val="001B1239"/>
    <w:rsid w:val="001B2A1F"/>
    <w:rsid w:val="001B2FB0"/>
    <w:rsid w:val="001C78A4"/>
    <w:rsid w:val="001E72B4"/>
    <w:rsid w:val="001F7C0B"/>
    <w:rsid w:val="002009A6"/>
    <w:rsid w:val="00220FF5"/>
    <w:rsid w:val="0022352B"/>
    <w:rsid w:val="00231AD7"/>
    <w:rsid w:val="00234FF0"/>
    <w:rsid w:val="002369E2"/>
    <w:rsid w:val="0024059D"/>
    <w:rsid w:val="00244154"/>
    <w:rsid w:val="00262AD3"/>
    <w:rsid w:val="00263145"/>
    <w:rsid w:val="002905B4"/>
    <w:rsid w:val="00295024"/>
    <w:rsid w:val="002963CA"/>
    <w:rsid w:val="00296487"/>
    <w:rsid w:val="002A31B5"/>
    <w:rsid w:val="002A54C3"/>
    <w:rsid w:val="002B3AEA"/>
    <w:rsid w:val="002B7D3A"/>
    <w:rsid w:val="002F0447"/>
    <w:rsid w:val="002F3A99"/>
    <w:rsid w:val="00306A2A"/>
    <w:rsid w:val="00314D51"/>
    <w:rsid w:val="00320A4E"/>
    <w:rsid w:val="00324947"/>
    <w:rsid w:val="00336EE9"/>
    <w:rsid w:val="00337FFB"/>
    <w:rsid w:val="0034716F"/>
    <w:rsid w:val="00382D54"/>
    <w:rsid w:val="0038618A"/>
    <w:rsid w:val="00386B58"/>
    <w:rsid w:val="00393FF3"/>
    <w:rsid w:val="003B327E"/>
    <w:rsid w:val="003B614C"/>
    <w:rsid w:val="003C15BB"/>
    <w:rsid w:val="003D0F91"/>
    <w:rsid w:val="003D3277"/>
    <w:rsid w:val="003D7EED"/>
    <w:rsid w:val="003F38C5"/>
    <w:rsid w:val="003F7C53"/>
    <w:rsid w:val="0040086C"/>
    <w:rsid w:val="00417537"/>
    <w:rsid w:val="004321B9"/>
    <w:rsid w:val="00437E48"/>
    <w:rsid w:val="00460481"/>
    <w:rsid w:val="004905BF"/>
    <w:rsid w:val="00490A1C"/>
    <w:rsid w:val="00492715"/>
    <w:rsid w:val="004938EF"/>
    <w:rsid w:val="004A0441"/>
    <w:rsid w:val="004A686B"/>
    <w:rsid w:val="004A69CF"/>
    <w:rsid w:val="004B7678"/>
    <w:rsid w:val="004E4848"/>
    <w:rsid w:val="004F5FA2"/>
    <w:rsid w:val="004F65D3"/>
    <w:rsid w:val="00500C66"/>
    <w:rsid w:val="00506547"/>
    <w:rsid w:val="00513237"/>
    <w:rsid w:val="005260AB"/>
    <w:rsid w:val="00543629"/>
    <w:rsid w:val="0054647B"/>
    <w:rsid w:val="00552401"/>
    <w:rsid w:val="0056278C"/>
    <w:rsid w:val="00574DE4"/>
    <w:rsid w:val="00575261"/>
    <w:rsid w:val="00581856"/>
    <w:rsid w:val="0059318A"/>
    <w:rsid w:val="005B3437"/>
    <w:rsid w:val="005C3587"/>
    <w:rsid w:val="005C5FC9"/>
    <w:rsid w:val="005D40B3"/>
    <w:rsid w:val="005E2546"/>
    <w:rsid w:val="005E3D26"/>
    <w:rsid w:val="005F299F"/>
    <w:rsid w:val="00611872"/>
    <w:rsid w:val="006166E3"/>
    <w:rsid w:val="00617508"/>
    <w:rsid w:val="00631916"/>
    <w:rsid w:val="00633741"/>
    <w:rsid w:val="0065141A"/>
    <w:rsid w:val="00652464"/>
    <w:rsid w:val="00654B9B"/>
    <w:rsid w:val="00655C53"/>
    <w:rsid w:val="00675A5D"/>
    <w:rsid w:val="00675E52"/>
    <w:rsid w:val="006774A0"/>
    <w:rsid w:val="0069050A"/>
    <w:rsid w:val="0069098F"/>
    <w:rsid w:val="006A0B3F"/>
    <w:rsid w:val="006D6862"/>
    <w:rsid w:val="007028FD"/>
    <w:rsid w:val="00724024"/>
    <w:rsid w:val="0072769D"/>
    <w:rsid w:val="007277A8"/>
    <w:rsid w:val="00727C87"/>
    <w:rsid w:val="007324A7"/>
    <w:rsid w:val="00746F5F"/>
    <w:rsid w:val="007542FC"/>
    <w:rsid w:val="007573CD"/>
    <w:rsid w:val="0076527C"/>
    <w:rsid w:val="00766775"/>
    <w:rsid w:val="007722EB"/>
    <w:rsid w:val="00781F8E"/>
    <w:rsid w:val="00786C0E"/>
    <w:rsid w:val="007937B2"/>
    <w:rsid w:val="00793BE5"/>
    <w:rsid w:val="00797341"/>
    <w:rsid w:val="007A61FB"/>
    <w:rsid w:val="007A6B24"/>
    <w:rsid w:val="007B5A01"/>
    <w:rsid w:val="007B63D7"/>
    <w:rsid w:val="007C7601"/>
    <w:rsid w:val="007E35A7"/>
    <w:rsid w:val="007F16D2"/>
    <w:rsid w:val="00801EDA"/>
    <w:rsid w:val="0081177F"/>
    <w:rsid w:val="00815831"/>
    <w:rsid w:val="00820889"/>
    <w:rsid w:val="008228DD"/>
    <w:rsid w:val="008235D1"/>
    <w:rsid w:val="008251A8"/>
    <w:rsid w:val="00874DC4"/>
    <w:rsid w:val="00890252"/>
    <w:rsid w:val="00893A8E"/>
    <w:rsid w:val="0089734F"/>
    <w:rsid w:val="008A4B80"/>
    <w:rsid w:val="008C12C7"/>
    <w:rsid w:val="008C1523"/>
    <w:rsid w:val="008D26FE"/>
    <w:rsid w:val="008D3D54"/>
    <w:rsid w:val="008F4598"/>
    <w:rsid w:val="008F4E48"/>
    <w:rsid w:val="00911855"/>
    <w:rsid w:val="0091662A"/>
    <w:rsid w:val="009209CD"/>
    <w:rsid w:val="00921A63"/>
    <w:rsid w:val="00921BAC"/>
    <w:rsid w:val="009321EB"/>
    <w:rsid w:val="00932870"/>
    <w:rsid w:val="00932DFC"/>
    <w:rsid w:val="00942660"/>
    <w:rsid w:val="009544EB"/>
    <w:rsid w:val="00954E57"/>
    <w:rsid w:val="00963DA8"/>
    <w:rsid w:val="00965B04"/>
    <w:rsid w:val="009A6058"/>
    <w:rsid w:val="009A6E75"/>
    <w:rsid w:val="009C3F71"/>
    <w:rsid w:val="009F3FF6"/>
    <w:rsid w:val="009F5CB9"/>
    <w:rsid w:val="00A07C53"/>
    <w:rsid w:val="00A245E1"/>
    <w:rsid w:val="00A25227"/>
    <w:rsid w:val="00A4565A"/>
    <w:rsid w:val="00A53E02"/>
    <w:rsid w:val="00A6285B"/>
    <w:rsid w:val="00A66F53"/>
    <w:rsid w:val="00A70314"/>
    <w:rsid w:val="00A710F1"/>
    <w:rsid w:val="00A7197B"/>
    <w:rsid w:val="00A8235D"/>
    <w:rsid w:val="00A9009E"/>
    <w:rsid w:val="00A926B7"/>
    <w:rsid w:val="00A952B7"/>
    <w:rsid w:val="00A95C3B"/>
    <w:rsid w:val="00AD6F39"/>
    <w:rsid w:val="00AE55CE"/>
    <w:rsid w:val="00AE5B8D"/>
    <w:rsid w:val="00AF219E"/>
    <w:rsid w:val="00AF3DCC"/>
    <w:rsid w:val="00B02FD9"/>
    <w:rsid w:val="00B0422E"/>
    <w:rsid w:val="00B062FB"/>
    <w:rsid w:val="00B12251"/>
    <w:rsid w:val="00B239E2"/>
    <w:rsid w:val="00B26955"/>
    <w:rsid w:val="00B372C6"/>
    <w:rsid w:val="00B43C8A"/>
    <w:rsid w:val="00B61C9F"/>
    <w:rsid w:val="00B64E12"/>
    <w:rsid w:val="00B759BE"/>
    <w:rsid w:val="00B76E39"/>
    <w:rsid w:val="00B86AE2"/>
    <w:rsid w:val="00BA225F"/>
    <w:rsid w:val="00BA69A0"/>
    <w:rsid w:val="00BC20C9"/>
    <w:rsid w:val="00BC3C6F"/>
    <w:rsid w:val="00BF0CBC"/>
    <w:rsid w:val="00BF3E41"/>
    <w:rsid w:val="00C03904"/>
    <w:rsid w:val="00C07459"/>
    <w:rsid w:val="00C12A60"/>
    <w:rsid w:val="00C17601"/>
    <w:rsid w:val="00C52490"/>
    <w:rsid w:val="00C52A82"/>
    <w:rsid w:val="00C53A42"/>
    <w:rsid w:val="00C80425"/>
    <w:rsid w:val="00C807CE"/>
    <w:rsid w:val="00C809EC"/>
    <w:rsid w:val="00C83C79"/>
    <w:rsid w:val="00C83E82"/>
    <w:rsid w:val="00C9103D"/>
    <w:rsid w:val="00CA7857"/>
    <w:rsid w:val="00CB66F3"/>
    <w:rsid w:val="00CB6F6F"/>
    <w:rsid w:val="00CD5419"/>
    <w:rsid w:val="00CD77C4"/>
    <w:rsid w:val="00CF6B96"/>
    <w:rsid w:val="00D04153"/>
    <w:rsid w:val="00D20D0D"/>
    <w:rsid w:val="00D20FA1"/>
    <w:rsid w:val="00D246F8"/>
    <w:rsid w:val="00D41663"/>
    <w:rsid w:val="00D656A3"/>
    <w:rsid w:val="00D83DBF"/>
    <w:rsid w:val="00D92157"/>
    <w:rsid w:val="00D96636"/>
    <w:rsid w:val="00DA335D"/>
    <w:rsid w:val="00DA3957"/>
    <w:rsid w:val="00DB0C93"/>
    <w:rsid w:val="00DB4BDA"/>
    <w:rsid w:val="00DB5068"/>
    <w:rsid w:val="00DF0C86"/>
    <w:rsid w:val="00E266C5"/>
    <w:rsid w:val="00E514D9"/>
    <w:rsid w:val="00E81F8C"/>
    <w:rsid w:val="00EA24BE"/>
    <w:rsid w:val="00EA789C"/>
    <w:rsid w:val="00EA7A96"/>
    <w:rsid w:val="00EC014C"/>
    <w:rsid w:val="00ED0CA9"/>
    <w:rsid w:val="00ED2F73"/>
    <w:rsid w:val="00F07441"/>
    <w:rsid w:val="00F20E6D"/>
    <w:rsid w:val="00F26E99"/>
    <w:rsid w:val="00F368A2"/>
    <w:rsid w:val="00F42269"/>
    <w:rsid w:val="00F53C57"/>
    <w:rsid w:val="00F55D0E"/>
    <w:rsid w:val="00F76B5B"/>
    <w:rsid w:val="00F939D6"/>
    <w:rsid w:val="00FA595D"/>
    <w:rsid w:val="00FB6979"/>
    <w:rsid w:val="00FC3988"/>
    <w:rsid w:val="00FC5FE0"/>
    <w:rsid w:val="00FF35EC"/>
    <w:rsid w:val="00FF761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848"/>
  </w:style>
  <w:style w:type="paragraph" w:styleId="Balk3">
    <w:name w:val="heading 3"/>
    <w:basedOn w:val="Normal"/>
    <w:link w:val="Balk3Char"/>
    <w:uiPriority w:val="9"/>
    <w:qFormat/>
    <w:rsid w:val="008C1523"/>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link w:val="Balk4Char"/>
    <w:uiPriority w:val="9"/>
    <w:qFormat/>
    <w:rsid w:val="008C1523"/>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368A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68A2"/>
    <w:rPr>
      <w:rFonts w:ascii="Tahoma" w:hAnsi="Tahoma" w:cs="Tahoma"/>
      <w:sz w:val="16"/>
      <w:szCs w:val="16"/>
    </w:rPr>
  </w:style>
  <w:style w:type="table" w:styleId="TabloKlavuzu">
    <w:name w:val="Table Grid"/>
    <w:basedOn w:val="NormalTablo"/>
    <w:uiPriority w:val="59"/>
    <w:rsid w:val="000B1F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aragraf">
    <w:name w:val="List Paragraph"/>
    <w:basedOn w:val="Normal"/>
    <w:uiPriority w:val="34"/>
    <w:qFormat/>
    <w:rsid w:val="00921A63"/>
    <w:pPr>
      <w:ind w:left="720"/>
      <w:contextualSpacing/>
    </w:pPr>
  </w:style>
  <w:style w:type="character" w:styleId="Kpr">
    <w:name w:val="Hyperlink"/>
    <w:basedOn w:val="VarsaylanParagrafYazTipi"/>
    <w:uiPriority w:val="99"/>
    <w:unhideWhenUsed/>
    <w:rsid w:val="004A0441"/>
    <w:rPr>
      <w:strike w:val="0"/>
      <w:dstrike w:val="0"/>
      <w:color w:val="333333"/>
      <w:u w:val="none"/>
      <w:effect w:val="none"/>
    </w:rPr>
  </w:style>
  <w:style w:type="paragraph" w:customStyle="1" w:styleId="basic">
    <w:name w:val="basic"/>
    <w:basedOn w:val="Normal"/>
    <w:rsid w:val="000B187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0B187B"/>
    <w:rPr>
      <w:i/>
      <w:iCs/>
    </w:rPr>
  </w:style>
  <w:style w:type="character" w:styleId="Gl">
    <w:name w:val="Strong"/>
    <w:basedOn w:val="VarsaylanParagrafYazTipi"/>
    <w:uiPriority w:val="22"/>
    <w:qFormat/>
    <w:rsid w:val="000B187B"/>
    <w:rPr>
      <w:b/>
      <w:bCs/>
    </w:rPr>
  </w:style>
  <w:style w:type="character" w:customStyle="1" w:styleId="apple-converted-space">
    <w:name w:val="apple-converted-space"/>
    <w:basedOn w:val="VarsaylanParagrafYazTipi"/>
    <w:rsid w:val="000B187B"/>
  </w:style>
  <w:style w:type="character" w:customStyle="1" w:styleId="Balk3Char">
    <w:name w:val="Başlık 3 Char"/>
    <w:basedOn w:val="VarsaylanParagrafYazTipi"/>
    <w:link w:val="Balk3"/>
    <w:uiPriority w:val="9"/>
    <w:rsid w:val="008C1523"/>
    <w:rPr>
      <w:rFonts w:ascii="Times New Roman" w:eastAsia="Times New Roman" w:hAnsi="Times New Roman" w:cs="Times New Roman"/>
      <w:b/>
      <w:bCs/>
      <w:sz w:val="27"/>
      <w:szCs w:val="27"/>
      <w:lang w:eastAsia="tr-TR"/>
    </w:rPr>
  </w:style>
  <w:style w:type="character" w:customStyle="1" w:styleId="Balk4Char">
    <w:name w:val="Başlık 4 Char"/>
    <w:basedOn w:val="VarsaylanParagrafYazTipi"/>
    <w:link w:val="Balk4"/>
    <w:uiPriority w:val="9"/>
    <w:rsid w:val="008C1523"/>
    <w:rPr>
      <w:rFonts w:ascii="Times New Roman" w:eastAsia="Times New Roman" w:hAnsi="Times New Roman" w:cs="Times New Roman"/>
      <w:b/>
      <w:bCs/>
      <w:sz w:val="24"/>
      <w:szCs w:val="24"/>
      <w:lang w:eastAsia="tr-TR"/>
    </w:rPr>
  </w:style>
  <w:style w:type="paragraph" w:styleId="NormalWeb">
    <w:name w:val="Normal (Web)"/>
    <w:basedOn w:val="Normal"/>
    <w:uiPriority w:val="99"/>
    <w:semiHidden/>
    <w:unhideWhenUsed/>
    <w:rsid w:val="008C1523"/>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ResimYazs">
    <w:name w:val="caption"/>
    <w:basedOn w:val="Normal"/>
    <w:next w:val="Normal"/>
    <w:uiPriority w:val="35"/>
    <w:unhideWhenUsed/>
    <w:qFormat/>
    <w:rsid w:val="001B2FB0"/>
    <w:pPr>
      <w:spacing w:line="240" w:lineRule="auto"/>
    </w:pPr>
    <w:rPr>
      <w:b/>
      <w:bCs/>
      <w:color w:val="4F81BD" w:themeColor="accent1"/>
      <w:sz w:val="18"/>
      <w:szCs w:val="18"/>
    </w:rPr>
  </w:style>
  <w:style w:type="paragraph" w:customStyle="1" w:styleId="Default">
    <w:name w:val="Default"/>
    <w:rsid w:val="003D0F91"/>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98847">
      <w:bodyDiv w:val="1"/>
      <w:marLeft w:val="0"/>
      <w:marRight w:val="0"/>
      <w:marTop w:val="0"/>
      <w:marBottom w:val="0"/>
      <w:divBdr>
        <w:top w:val="none" w:sz="0" w:space="0" w:color="auto"/>
        <w:left w:val="none" w:sz="0" w:space="0" w:color="auto"/>
        <w:bottom w:val="none" w:sz="0" w:space="0" w:color="auto"/>
        <w:right w:val="none" w:sz="0" w:space="0" w:color="auto"/>
      </w:divBdr>
    </w:div>
    <w:div w:id="361591471">
      <w:bodyDiv w:val="1"/>
      <w:marLeft w:val="0"/>
      <w:marRight w:val="0"/>
      <w:marTop w:val="0"/>
      <w:marBottom w:val="0"/>
      <w:divBdr>
        <w:top w:val="none" w:sz="0" w:space="0" w:color="auto"/>
        <w:left w:val="none" w:sz="0" w:space="0" w:color="auto"/>
        <w:bottom w:val="none" w:sz="0" w:space="0" w:color="auto"/>
        <w:right w:val="none" w:sz="0" w:space="0" w:color="auto"/>
      </w:divBdr>
      <w:divsChild>
        <w:div w:id="1521705074">
          <w:marLeft w:val="0"/>
          <w:marRight w:val="0"/>
          <w:marTop w:val="0"/>
          <w:marBottom w:val="0"/>
          <w:divBdr>
            <w:top w:val="none" w:sz="0" w:space="0" w:color="auto"/>
            <w:left w:val="none" w:sz="0" w:space="0" w:color="auto"/>
            <w:bottom w:val="none" w:sz="0" w:space="0" w:color="auto"/>
            <w:right w:val="none" w:sz="0" w:space="0" w:color="auto"/>
          </w:divBdr>
          <w:divsChild>
            <w:div w:id="143350469">
              <w:marLeft w:val="0"/>
              <w:marRight w:val="0"/>
              <w:marTop w:val="0"/>
              <w:marBottom w:val="0"/>
              <w:divBdr>
                <w:top w:val="none" w:sz="0" w:space="0" w:color="auto"/>
                <w:left w:val="none" w:sz="0" w:space="0" w:color="auto"/>
                <w:bottom w:val="none" w:sz="0" w:space="0" w:color="auto"/>
                <w:right w:val="none" w:sz="0" w:space="0" w:color="auto"/>
              </w:divBdr>
              <w:divsChild>
                <w:div w:id="1904363832">
                  <w:marLeft w:val="75"/>
                  <w:marRight w:val="75"/>
                  <w:marTop w:val="0"/>
                  <w:marBottom w:val="0"/>
                  <w:divBdr>
                    <w:top w:val="none" w:sz="0" w:space="0" w:color="auto"/>
                    <w:left w:val="none" w:sz="0" w:space="0" w:color="auto"/>
                    <w:bottom w:val="none" w:sz="0" w:space="0" w:color="auto"/>
                    <w:right w:val="none" w:sz="0" w:space="0" w:color="auto"/>
                  </w:divBdr>
                  <w:divsChild>
                    <w:div w:id="1575968981">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250286">
      <w:bodyDiv w:val="1"/>
      <w:marLeft w:val="0"/>
      <w:marRight w:val="0"/>
      <w:marTop w:val="0"/>
      <w:marBottom w:val="0"/>
      <w:divBdr>
        <w:top w:val="none" w:sz="0" w:space="0" w:color="auto"/>
        <w:left w:val="none" w:sz="0" w:space="0" w:color="auto"/>
        <w:bottom w:val="none" w:sz="0" w:space="0" w:color="auto"/>
        <w:right w:val="none" w:sz="0" w:space="0" w:color="auto"/>
      </w:divBdr>
      <w:divsChild>
        <w:div w:id="739713341">
          <w:marLeft w:val="0"/>
          <w:marRight w:val="0"/>
          <w:marTop w:val="0"/>
          <w:marBottom w:val="0"/>
          <w:divBdr>
            <w:top w:val="none" w:sz="0" w:space="0" w:color="auto"/>
            <w:left w:val="none" w:sz="0" w:space="0" w:color="auto"/>
            <w:bottom w:val="none" w:sz="0" w:space="0" w:color="auto"/>
            <w:right w:val="none" w:sz="0" w:space="0" w:color="auto"/>
          </w:divBdr>
          <w:divsChild>
            <w:div w:id="1535344587">
              <w:marLeft w:val="0"/>
              <w:marRight w:val="0"/>
              <w:marTop w:val="0"/>
              <w:marBottom w:val="0"/>
              <w:divBdr>
                <w:top w:val="none" w:sz="0" w:space="0" w:color="auto"/>
                <w:left w:val="none" w:sz="0" w:space="0" w:color="auto"/>
                <w:bottom w:val="none" w:sz="0" w:space="0" w:color="auto"/>
                <w:right w:val="none" w:sz="0" w:space="0" w:color="auto"/>
              </w:divBdr>
              <w:divsChild>
                <w:div w:id="507601709">
                  <w:marLeft w:val="0"/>
                  <w:marRight w:val="0"/>
                  <w:marTop w:val="0"/>
                  <w:marBottom w:val="0"/>
                  <w:divBdr>
                    <w:top w:val="none" w:sz="0" w:space="0" w:color="auto"/>
                    <w:left w:val="none" w:sz="0" w:space="0" w:color="auto"/>
                    <w:bottom w:val="none" w:sz="0" w:space="0" w:color="auto"/>
                    <w:right w:val="none" w:sz="0" w:space="0" w:color="auto"/>
                  </w:divBdr>
                  <w:divsChild>
                    <w:div w:id="1959991969">
                      <w:marLeft w:val="0"/>
                      <w:marRight w:val="0"/>
                      <w:marTop w:val="0"/>
                      <w:marBottom w:val="0"/>
                      <w:divBdr>
                        <w:top w:val="none" w:sz="0" w:space="0" w:color="auto"/>
                        <w:left w:val="none" w:sz="0" w:space="0" w:color="auto"/>
                        <w:bottom w:val="none" w:sz="0" w:space="0" w:color="auto"/>
                        <w:right w:val="none" w:sz="0" w:space="0" w:color="auto"/>
                      </w:divBdr>
                      <w:divsChild>
                        <w:div w:id="1999338958">
                          <w:marLeft w:val="0"/>
                          <w:marRight w:val="0"/>
                          <w:marTop w:val="0"/>
                          <w:marBottom w:val="0"/>
                          <w:divBdr>
                            <w:top w:val="none" w:sz="0" w:space="0" w:color="auto"/>
                            <w:left w:val="none" w:sz="0" w:space="0" w:color="auto"/>
                            <w:bottom w:val="none" w:sz="0" w:space="0" w:color="auto"/>
                            <w:right w:val="none" w:sz="0" w:space="0" w:color="auto"/>
                          </w:divBdr>
                          <w:divsChild>
                            <w:div w:id="1916163788">
                              <w:marLeft w:val="0"/>
                              <w:marRight w:val="0"/>
                              <w:marTop w:val="0"/>
                              <w:marBottom w:val="0"/>
                              <w:divBdr>
                                <w:top w:val="none" w:sz="0" w:space="0" w:color="auto"/>
                                <w:left w:val="none" w:sz="0" w:space="0" w:color="auto"/>
                                <w:bottom w:val="none" w:sz="0" w:space="0" w:color="auto"/>
                                <w:right w:val="none" w:sz="0" w:space="0" w:color="auto"/>
                              </w:divBdr>
                              <w:divsChild>
                                <w:div w:id="2060471191">
                                  <w:marLeft w:val="0"/>
                                  <w:marRight w:val="0"/>
                                  <w:marTop w:val="0"/>
                                  <w:marBottom w:val="0"/>
                                  <w:divBdr>
                                    <w:top w:val="none" w:sz="0" w:space="0" w:color="auto"/>
                                    <w:left w:val="none" w:sz="0" w:space="0" w:color="auto"/>
                                    <w:bottom w:val="none" w:sz="0" w:space="0" w:color="auto"/>
                                    <w:right w:val="none" w:sz="0" w:space="0" w:color="auto"/>
                                  </w:divBdr>
                                  <w:divsChild>
                                    <w:div w:id="1360473775">
                                      <w:marLeft w:val="0"/>
                                      <w:marRight w:val="0"/>
                                      <w:marTop w:val="0"/>
                                      <w:marBottom w:val="0"/>
                                      <w:divBdr>
                                        <w:top w:val="none" w:sz="0" w:space="0" w:color="auto"/>
                                        <w:left w:val="none" w:sz="0" w:space="0" w:color="auto"/>
                                        <w:bottom w:val="none" w:sz="0" w:space="0" w:color="auto"/>
                                        <w:right w:val="none" w:sz="0" w:space="0" w:color="auto"/>
                                      </w:divBdr>
                                      <w:divsChild>
                                        <w:div w:id="1789809332">
                                          <w:marLeft w:val="0"/>
                                          <w:marRight w:val="0"/>
                                          <w:marTop w:val="0"/>
                                          <w:marBottom w:val="0"/>
                                          <w:divBdr>
                                            <w:top w:val="none" w:sz="0" w:space="0" w:color="auto"/>
                                            <w:left w:val="none" w:sz="0" w:space="0" w:color="auto"/>
                                            <w:bottom w:val="none" w:sz="0" w:space="0" w:color="auto"/>
                                            <w:right w:val="none" w:sz="0" w:space="0" w:color="auto"/>
                                          </w:divBdr>
                                          <w:divsChild>
                                            <w:div w:id="190887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3099869">
      <w:bodyDiv w:val="1"/>
      <w:marLeft w:val="0"/>
      <w:marRight w:val="0"/>
      <w:marTop w:val="0"/>
      <w:marBottom w:val="0"/>
      <w:divBdr>
        <w:top w:val="none" w:sz="0" w:space="0" w:color="auto"/>
        <w:left w:val="none" w:sz="0" w:space="0" w:color="auto"/>
        <w:bottom w:val="none" w:sz="0" w:space="0" w:color="auto"/>
        <w:right w:val="none" w:sz="0" w:space="0" w:color="auto"/>
      </w:divBdr>
    </w:div>
    <w:div w:id="965937498">
      <w:bodyDiv w:val="1"/>
      <w:marLeft w:val="0"/>
      <w:marRight w:val="0"/>
      <w:marTop w:val="0"/>
      <w:marBottom w:val="0"/>
      <w:divBdr>
        <w:top w:val="none" w:sz="0" w:space="0" w:color="auto"/>
        <w:left w:val="none" w:sz="0" w:space="0" w:color="auto"/>
        <w:bottom w:val="none" w:sz="0" w:space="0" w:color="auto"/>
        <w:right w:val="none" w:sz="0" w:space="0" w:color="auto"/>
      </w:divBdr>
      <w:divsChild>
        <w:div w:id="1761368445">
          <w:marLeft w:val="0"/>
          <w:marRight w:val="0"/>
          <w:marTop w:val="0"/>
          <w:marBottom w:val="0"/>
          <w:divBdr>
            <w:top w:val="none" w:sz="0" w:space="0" w:color="auto"/>
            <w:left w:val="none" w:sz="0" w:space="0" w:color="auto"/>
            <w:bottom w:val="none" w:sz="0" w:space="0" w:color="auto"/>
            <w:right w:val="none" w:sz="0" w:space="0" w:color="auto"/>
          </w:divBdr>
          <w:divsChild>
            <w:div w:id="196936463">
              <w:marLeft w:val="0"/>
              <w:marRight w:val="0"/>
              <w:marTop w:val="0"/>
              <w:marBottom w:val="0"/>
              <w:divBdr>
                <w:top w:val="none" w:sz="0" w:space="0" w:color="auto"/>
                <w:left w:val="none" w:sz="0" w:space="0" w:color="auto"/>
                <w:bottom w:val="none" w:sz="0" w:space="0" w:color="auto"/>
                <w:right w:val="none" w:sz="0" w:space="0" w:color="auto"/>
              </w:divBdr>
              <w:divsChild>
                <w:div w:id="493422970">
                  <w:marLeft w:val="0"/>
                  <w:marRight w:val="0"/>
                  <w:marTop w:val="195"/>
                  <w:marBottom w:val="0"/>
                  <w:divBdr>
                    <w:top w:val="none" w:sz="0" w:space="0" w:color="auto"/>
                    <w:left w:val="none" w:sz="0" w:space="0" w:color="auto"/>
                    <w:bottom w:val="none" w:sz="0" w:space="0" w:color="auto"/>
                    <w:right w:val="none" w:sz="0" w:space="0" w:color="auto"/>
                  </w:divBdr>
                  <w:divsChild>
                    <w:div w:id="1150825046">
                      <w:marLeft w:val="0"/>
                      <w:marRight w:val="0"/>
                      <w:marTop w:val="0"/>
                      <w:marBottom w:val="0"/>
                      <w:divBdr>
                        <w:top w:val="none" w:sz="0" w:space="0" w:color="auto"/>
                        <w:left w:val="none" w:sz="0" w:space="0" w:color="auto"/>
                        <w:bottom w:val="none" w:sz="0" w:space="0" w:color="auto"/>
                        <w:right w:val="none" w:sz="0" w:space="0" w:color="auto"/>
                      </w:divBdr>
                      <w:divsChild>
                        <w:div w:id="12151163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936081">
                          <w:marLeft w:val="0"/>
                          <w:marRight w:val="0"/>
                          <w:marTop w:val="0"/>
                          <w:marBottom w:val="0"/>
                          <w:divBdr>
                            <w:top w:val="none" w:sz="0" w:space="0" w:color="auto"/>
                            <w:left w:val="none" w:sz="0" w:space="0" w:color="auto"/>
                            <w:bottom w:val="none" w:sz="0" w:space="0" w:color="auto"/>
                            <w:right w:val="none" w:sz="0" w:space="0" w:color="auto"/>
                          </w:divBdr>
                        </w:div>
                        <w:div w:id="17649541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2740391">
                          <w:marLeft w:val="0"/>
                          <w:marRight w:val="0"/>
                          <w:marTop w:val="0"/>
                          <w:marBottom w:val="0"/>
                          <w:divBdr>
                            <w:top w:val="none" w:sz="0" w:space="0" w:color="auto"/>
                            <w:left w:val="none" w:sz="0" w:space="0" w:color="auto"/>
                            <w:bottom w:val="none" w:sz="0" w:space="0" w:color="auto"/>
                            <w:right w:val="none" w:sz="0" w:space="0" w:color="auto"/>
                          </w:divBdr>
                        </w:div>
                        <w:div w:id="216627098">
                          <w:marLeft w:val="0"/>
                          <w:marRight w:val="0"/>
                          <w:marTop w:val="0"/>
                          <w:marBottom w:val="0"/>
                          <w:divBdr>
                            <w:top w:val="none" w:sz="0" w:space="0" w:color="auto"/>
                            <w:left w:val="none" w:sz="0" w:space="0" w:color="auto"/>
                            <w:bottom w:val="none" w:sz="0" w:space="0" w:color="auto"/>
                            <w:right w:val="none" w:sz="0" w:space="0" w:color="auto"/>
                          </w:divBdr>
                        </w:div>
                        <w:div w:id="1874463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59685112">
                          <w:marLeft w:val="0"/>
                          <w:marRight w:val="0"/>
                          <w:marTop w:val="0"/>
                          <w:marBottom w:val="0"/>
                          <w:divBdr>
                            <w:top w:val="none" w:sz="0" w:space="0" w:color="auto"/>
                            <w:left w:val="none" w:sz="0" w:space="0" w:color="auto"/>
                            <w:bottom w:val="none" w:sz="0" w:space="0" w:color="auto"/>
                            <w:right w:val="none" w:sz="0" w:space="0" w:color="auto"/>
                          </w:divBdr>
                        </w:div>
                        <w:div w:id="1612929631">
                          <w:marLeft w:val="0"/>
                          <w:marRight w:val="0"/>
                          <w:marTop w:val="0"/>
                          <w:marBottom w:val="0"/>
                          <w:divBdr>
                            <w:top w:val="none" w:sz="0" w:space="0" w:color="auto"/>
                            <w:left w:val="none" w:sz="0" w:space="0" w:color="auto"/>
                            <w:bottom w:val="none" w:sz="0" w:space="0" w:color="auto"/>
                            <w:right w:val="none" w:sz="0" w:space="0" w:color="auto"/>
                          </w:divBdr>
                        </w:div>
                        <w:div w:id="378668144">
                          <w:marLeft w:val="0"/>
                          <w:marRight w:val="0"/>
                          <w:marTop w:val="0"/>
                          <w:marBottom w:val="0"/>
                          <w:divBdr>
                            <w:top w:val="none" w:sz="0" w:space="0" w:color="auto"/>
                            <w:left w:val="none" w:sz="0" w:space="0" w:color="auto"/>
                            <w:bottom w:val="none" w:sz="0" w:space="0" w:color="auto"/>
                            <w:right w:val="none" w:sz="0" w:space="0" w:color="auto"/>
                          </w:divBdr>
                        </w:div>
                        <w:div w:id="136440784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394576">
                          <w:marLeft w:val="0"/>
                          <w:marRight w:val="0"/>
                          <w:marTop w:val="0"/>
                          <w:marBottom w:val="0"/>
                          <w:divBdr>
                            <w:top w:val="none" w:sz="0" w:space="0" w:color="auto"/>
                            <w:left w:val="none" w:sz="0" w:space="0" w:color="auto"/>
                            <w:bottom w:val="none" w:sz="0" w:space="0" w:color="auto"/>
                            <w:right w:val="none" w:sz="0" w:space="0" w:color="auto"/>
                          </w:divBdr>
                        </w:div>
                        <w:div w:id="16637287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752607">
                          <w:marLeft w:val="0"/>
                          <w:marRight w:val="0"/>
                          <w:marTop w:val="0"/>
                          <w:marBottom w:val="0"/>
                          <w:divBdr>
                            <w:top w:val="none" w:sz="0" w:space="0" w:color="auto"/>
                            <w:left w:val="none" w:sz="0" w:space="0" w:color="auto"/>
                            <w:bottom w:val="none" w:sz="0" w:space="0" w:color="auto"/>
                            <w:right w:val="none" w:sz="0" w:space="0" w:color="auto"/>
                          </w:divBdr>
                        </w:div>
                        <w:div w:id="2033142360">
                          <w:marLeft w:val="0"/>
                          <w:marRight w:val="0"/>
                          <w:marTop w:val="0"/>
                          <w:marBottom w:val="0"/>
                          <w:divBdr>
                            <w:top w:val="none" w:sz="0" w:space="0" w:color="auto"/>
                            <w:left w:val="none" w:sz="0" w:space="0" w:color="auto"/>
                            <w:bottom w:val="none" w:sz="0" w:space="0" w:color="auto"/>
                            <w:right w:val="none" w:sz="0" w:space="0" w:color="auto"/>
                          </w:divBdr>
                        </w:div>
                        <w:div w:id="546842101">
                          <w:marLeft w:val="0"/>
                          <w:marRight w:val="0"/>
                          <w:marTop w:val="0"/>
                          <w:marBottom w:val="0"/>
                          <w:divBdr>
                            <w:top w:val="none" w:sz="0" w:space="0" w:color="auto"/>
                            <w:left w:val="none" w:sz="0" w:space="0" w:color="auto"/>
                            <w:bottom w:val="none" w:sz="0" w:space="0" w:color="auto"/>
                            <w:right w:val="none" w:sz="0" w:space="0" w:color="auto"/>
                          </w:divBdr>
                        </w:div>
                        <w:div w:id="1220436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222044">
                          <w:marLeft w:val="0"/>
                          <w:marRight w:val="0"/>
                          <w:marTop w:val="0"/>
                          <w:marBottom w:val="0"/>
                          <w:divBdr>
                            <w:top w:val="none" w:sz="0" w:space="0" w:color="auto"/>
                            <w:left w:val="none" w:sz="0" w:space="0" w:color="auto"/>
                            <w:bottom w:val="none" w:sz="0" w:space="0" w:color="auto"/>
                            <w:right w:val="none" w:sz="0" w:space="0" w:color="auto"/>
                          </w:divBdr>
                        </w:div>
                        <w:div w:id="45760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4928">
                          <w:marLeft w:val="0"/>
                          <w:marRight w:val="0"/>
                          <w:marTop w:val="0"/>
                          <w:marBottom w:val="0"/>
                          <w:divBdr>
                            <w:top w:val="none" w:sz="0" w:space="0" w:color="auto"/>
                            <w:left w:val="none" w:sz="0" w:space="0" w:color="auto"/>
                            <w:bottom w:val="none" w:sz="0" w:space="0" w:color="auto"/>
                            <w:right w:val="none" w:sz="0" w:space="0" w:color="auto"/>
                          </w:divBdr>
                        </w:div>
                        <w:div w:id="704519735">
                          <w:blockQuote w:val="1"/>
                          <w:marLeft w:val="720"/>
                          <w:marRight w:val="720"/>
                          <w:marTop w:val="100"/>
                          <w:marBottom w:val="100"/>
                          <w:divBdr>
                            <w:top w:val="none" w:sz="0" w:space="0" w:color="auto"/>
                            <w:left w:val="none" w:sz="0" w:space="0" w:color="auto"/>
                            <w:bottom w:val="none" w:sz="0" w:space="0" w:color="auto"/>
                            <w:right w:val="none" w:sz="0" w:space="0" w:color="auto"/>
                          </w:divBdr>
                        </w:div>
                        <w:div w:id="81706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436878">
      <w:bodyDiv w:val="1"/>
      <w:marLeft w:val="0"/>
      <w:marRight w:val="0"/>
      <w:marTop w:val="0"/>
      <w:marBottom w:val="0"/>
      <w:divBdr>
        <w:top w:val="none" w:sz="0" w:space="0" w:color="auto"/>
        <w:left w:val="none" w:sz="0" w:space="0" w:color="auto"/>
        <w:bottom w:val="none" w:sz="0" w:space="0" w:color="auto"/>
        <w:right w:val="none" w:sz="0" w:space="0" w:color="auto"/>
      </w:divBdr>
      <w:divsChild>
        <w:div w:id="323551971">
          <w:marLeft w:val="0"/>
          <w:marRight w:val="0"/>
          <w:marTop w:val="0"/>
          <w:marBottom w:val="0"/>
          <w:divBdr>
            <w:top w:val="none" w:sz="0" w:space="0" w:color="auto"/>
            <w:left w:val="none" w:sz="0" w:space="0" w:color="auto"/>
            <w:bottom w:val="none" w:sz="0" w:space="0" w:color="auto"/>
            <w:right w:val="none" w:sz="0" w:space="0" w:color="auto"/>
          </w:divBdr>
          <w:divsChild>
            <w:div w:id="1313023322">
              <w:marLeft w:val="0"/>
              <w:marRight w:val="0"/>
              <w:marTop w:val="0"/>
              <w:marBottom w:val="600"/>
              <w:divBdr>
                <w:top w:val="none" w:sz="0" w:space="0" w:color="auto"/>
                <w:left w:val="none" w:sz="0" w:space="0" w:color="auto"/>
                <w:bottom w:val="none" w:sz="0" w:space="0" w:color="auto"/>
                <w:right w:val="none" w:sz="0" w:space="0" w:color="auto"/>
              </w:divBdr>
              <w:divsChild>
                <w:div w:id="122617881">
                  <w:marLeft w:val="0"/>
                  <w:marRight w:val="300"/>
                  <w:marTop w:val="0"/>
                  <w:marBottom w:val="0"/>
                  <w:divBdr>
                    <w:top w:val="none" w:sz="0" w:space="0" w:color="auto"/>
                    <w:left w:val="none" w:sz="0" w:space="0" w:color="auto"/>
                    <w:bottom w:val="none" w:sz="0" w:space="0" w:color="auto"/>
                    <w:right w:val="none" w:sz="0" w:space="0" w:color="auto"/>
                  </w:divBdr>
                  <w:divsChild>
                    <w:div w:id="2051688870">
                      <w:marLeft w:val="0"/>
                      <w:marRight w:val="0"/>
                      <w:marTop w:val="0"/>
                      <w:marBottom w:val="150"/>
                      <w:divBdr>
                        <w:top w:val="none" w:sz="0" w:space="0" w:color="auto"/>
                        <w:left w:val="none" w:sz="0" w:space="0" w:color="auto"/>
                        <w:bottom w:val="none" w:sz="0" w:space="0" w:color="auto"/>
                        <w:right w:val="none" w:sz="0" w:space="0" w:color="auto"/>
                      </w:divBdr>
                      <w:divsChild>
                        <w:div w:id="169969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086357">
      <w:bodyDiv w:val="1"/>
      <w:marLeft w:val="0"/>
      <w:marRight w:val="0"/>
      <w:marTop w:val="0"/>
      <w:marBottom w:val="0"/>
      <w:divBdr>
        <w:top w:val="none" w:sz="0" w:space="0" w:color="auto"/>
        <w:left w:val="none" w:sz="0" w:space="0" w:color="auto"/>
        <w:bottom w:val="none" w:sz="0" w:space="0" w:color="auto"/>
        <w:right w:val="none" w:sz="0" w:space="0" w:color="auto"/>
      </w:divBdr>
    </w:div>
    <w:div w:id="1526137821">
      <w:bodyDiv w:val="1"/>
      <w:marLeft w:val="0"/>
      <w:marRight w:val="0"/>
      <w:marTop w:val="0"/>
      <w:marBottom w:val="0"/>
      <w:divBdr>
        <w:top w:val="none" w:sz="0" w:space="0" w:color="auto"/>
        <w:left w:val="none" w:sz="0" w:space="0" w:color="auto"/>
        <w:bottom w:val="none" w:sz="0" w:space="0" w:color="auto"/>
        <w:right w:val="none" w:sz="0" w:space="0" w:color="auto"/>
      </w:divBdr>
      <w:divsChild>
        <w:div w:id="1834686631">
          <w:marLeft w:val="0"/>
          <w:marRight w:val="0"/>
          <w:marTop w:val="0"/>
          <w:marBottom w:val="0"/>
          <w:divBdr>
            <w:top w:val="none" w:sz="0" w:space="0" w:color="auto"/>
            <w:left w:val="none" w:sz="0" w:space="0" w:color="auto"/>
            <w:bottom w:val="none" w:sz="0" w:space="0" w:color="auto"/>
            <w:right w:val="none" w:sz="0" w:space="0" w:color="auto"/>
          </w:divBdr>
          <w:divsChild>
            <w:div w:id="221253499">
              <w:marLeft w:val="0"/>
              <w:marRight w:val="0"/>
              <w:marTop w:val="0"/>
              <w:marBottom w:val="0"/>
              <w:divBdr>
                <w:top w:val="none" w:sz="0" w:space="0" w:color="auto"/>
                <w:left w:val="none" w:sz="0" w:space="0" w:color="auto"/>
                <w:bottom w:val="none" w:sz="0" w:space="0" w:color="auto"/>
                <w:right w:val="none" w:sz="0" w:space="0" w:color="auto"/>
              </w:divBdr>
              <w:divsChild>
                <w:div w:id="1615090300">
                  <w:marLeft w:val="0"/>
                  <w:marRight w:val="0"/>
                  <w:marTop w:val="0"/>
                  <w:marBottom w:val="0"/>
                  <w:divBdr>
                    <w:top w:val="none" w:sz="0" w:space="0" w:color="auto"/>
                    <w:left w:val="none" w:sz="0" w:space="0" w:color="auto"/>
                    <w:bottom w:val="none" w:sz="0" w:space="0" w:color="auto"/>
                    <w:right w:val="none" w:sz="0" w:space="0" w:color="auto"/>
                  </w:divBdr>
                  <w:divsChild>
                    <w:div w:id="369964575">
                      <w:marLeft w:val="0"/>
                      <w:marRight w:val="0"/>
                      <w:marTop w:val="0"/>
                      <w:marBottom w:val="0"/>
                      <w:divBdr>
                        <w:top w:val="none" w:sz="0" w:space="0" w:color="auto"/>
                        <w:left w:val="none" w:sz="0" w:space="0" w:color="auto"/>
                        <w:bottom w:val="none" w:sz="0" w:space="0" w:color="auto"/>
                        <w:right w:val="none" w:sz="0" w:space="0" w:color="auto"/>
                      </w:divBdr>
                      <w:divsChild>
                        <w:div w:id="1257013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9607087">
      <w:bodyDiv w:val="1"/>
      <w:marLeft w:val="0"/>
      <w:marRight w:val="0"/>
      <w:marTop w:val="0"/>
      <w:marBottom w:val="0"/>
      <w:divBdr>
        <w:top w:val="none" w:sz="0" w:space="0" w:color="auto"/>
        <w:left w:val="none" w:sz="0" w:space="0" w:color="auto"/>
        <w:bottom w:val="none" w:sz="0" w:space="0" w:color="auto"/>
        <w:right w:val="none" w:sz="0" w:space="0" w:color="auto"/>
      </w:divBdr>
      <w:divsChild>
        <w:div w:id="1253975159">
          <w:marLeft w:val="0"/>
          <w:marRight w:val="0"/>
          <w:marTop w:val="0"/>
          <w:marBottom w:val="0"/>
          <w:divBdr>
            <w:top w:val="none" w:sz="0" w:space="0" w:color="auto"/>
            <w:left w:val="none" w:sz="0" w:space="0" w:color="auto"/>
            <w:bottom w:val="none" w:sz="0" w:space="0" w:color="auto"/>
            <w:right w:val="none" w:sz="0" w:space="0" w:color="auto"/>
          </w:divBdr>
          <w:divsChild>
            <w:div w:id="1347100249">
              <w:marLeft w:val="0"/>
              <w:marRight w:val="0"/>
              <w:marTop w:val="0"/>
              <w:marBottom w:val="0"/>
              <w:divBdr>
                <w:top w:val="none" w:sz="0" w:space="0" w:color="auto"/>
                <w:left w:val="none" w:sz="0" w:space="0" w:color="auto"/>
                <w:bottom w:val="none" w:sz="0" w:space="0" w:color="auto"/>
                <w:right w:val="none" w:sz="0" w:space="0" w:color="auto"/>
              </w:divBdr>
              <w:divsChild>
                <w:div w:id="1804231035">
                  <w:marLeft w:val="0"/>
                  <w:marRight w:val="0"/>
                  <w:marTop w:val="0"/>
                  <w:marBottom w:val="0"/>
                  <w:divBdr>
                    <w:top w:val="none" w:sz="0" w:space="0" w:color="auto"/>
                    <w:left w:val="none" w:sz="0" w:space="0" w:color="auto"/>
                    <w:bottom w:val="none" w:sz="0" w:space="0" w:color="auto"/>
                    <w:right w:val="none" w:sz="0" w:space="0" w:color="auto"/>
                  </w:divBdr>
                  <w:divsChild>
                    <w:div w:id="1776752738">
                      <w:marLeft w:val="0"/>
                      <w:marRight w:val="0"/>
                      <w:marTop w:val="0"/>
                      <w:marBottom w:val="0"/>
                      <w:divBdr>
                        <w:top w:val="none" w:sz="0" w:space="0" w:color="auto"/>
                        <w:left w:val="none" w:sz="0" w:space="0" w:color="auto"/>
                        <w:bottom w:val="none" w:sz="0" w:space="0" w:color="auto"/>
                        <w:right w:val="none" w:sz="0" w:space="0" w:color="auto"/>
                      </w:divBdr>
                      <w:divsChild>
                        <w:div w:id="2008704597">
                          <w:marLeft w:val="0"/>
                          <w:marRight w:val="0"/>
                          <w:marTop w:val="0"/>
                          <w:marBottom w:val="0"/>
                          <w:divBdr>
                            <w:top w:val="none" w:sz="0" w:space="0" w:color="auto"/>
                            <w:left w:val="none" w:sz="0" w:space="0" w:color="auto"/>
                            <w:bottom w:val="none" w:sz="0" w:space="0" w:color="auto"/>
                            <w:right w:val="none" w:sz="0" w:space="0" w:color="auto"/>
                          </w:divBdr>
                          <w:divsChild>
                            <w:div w:id="94334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image" Target="media/image1.png"/><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image" Target="media/image3.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image" Target="media/image7.jpeg"/><Relationship Id="rId5" Type="http://schemas.openxmlformats.org/officeDocument/2006/relationships/settings" Target="settings.xml"/><Relationship Id="rId15" Type="http://schemas.openxmlformats.org/officeDocument/2006/relationships/chart" Target="charts/chart5.xml"/><Relationship Id="rId23" Type="http://schemas.openxmlformats.org/officeDocument/2006/relationships/image" Target="media/image6.jpeg"/><Relationship Id="rId28"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chart" Target="charts/chart9.xm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chart" Target="charts/chart4.xml"/><Relationship Id="rId22" Type="http://schemas.openxmlformats.org/officeDocument/2006/relationships/image" Target="media/image5.jpeg"/><Relationship Id="rId27" Type="http://schemas.openxmlformats.org/officeDocument/2006/relationships/image" Target="media/image10.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defRPr>
            </a:pPr>
            <a:r>
              <a:rPr lang="tr-TR" sz="16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TURİZMİN ALMANYA EKONOMİSİ İÇİNDEKİ PAYI</a:t>
            </a:r>
            <a:r>
              <a:rPr lang="tr-TR" sz="1600" b="1" cap="none" spc="0" baseline="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a:t>
            </a:r>
            <a:r>
              <a:rPr lang="tr-TR" sz="1600"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(GSMH)</a:t>
            </a:r>
          </a:p>
        </c:rich>
      </c:tx>
      <c:layout>
        <c:manualLayout>
          <c:xMode val="edge"/>
          <c:yMode val="edge"/>
          <c:x val="0.12494863588698275"/>
          <c:y val="0"/>
        </c:manualLayout>
      </c:layout>
      <c:overlay val="0"/>
    </c:title>
    <c:autoTitleDeleted val="0"/>
    <c:view3D>
      <c:rotX val="20"/>
      <c:rotY val="110"/>
      <c:rAngAx val="0"/>
      <c:perspective val="10"/>
    </c:view3D>
    <c:floor>
      <c:thickness val="0"/>
    </c:floor>
    <c:sideWall>
      <c:thickness val="0"/>
    </c:sideWall>
    <c:backWall>
      <c:thickness val="0"/>
    </c:backWall>
    <c:plotArea>
      <c:layout>
        <c:manualLayout>
          <c:layoutTarget val="inner"/>
          <c:xMode val="edge"/>
          <c:yMode val="edge"/>
          <c:x val="8.8569736074657318E-2"/>
          <c:y val="0.22774028246469194"/>
          <c:w val="0.64275645231846013"/>
          <c:h val="0.64352737157855266"/>
        </c:manualLayout>
      </c:layout>
      <c:pie3DChart>
        <c:varyColors val="1"/>
        <c:ser>
          <c:idx val="0"/>
          <c:order val="0"/>
          <c:tx>
            <c:strRef>
              <c:f>Sayfa1!$B$1</c:f>
              <c:strCache>
                <c:ptCount val="1"/>
                <c:pt idx="0">
                  <c:v>TURİZMİN İTALYA EKONOMİSİ İÇİNDEKİ PAYI (GSMH Payı)</c:v>
                </c:pt>
              </c:strCache>
            </c:strRef>
          </c:tx>
          <c:explosion val="25"/>
          <c:dPt>
            <c:idx val="1"/>
            <c:bubble3D val="0"/>
            <c:spPr>
              <a:solidFill>
                <a:schemeClr val="accent2">
                  <a:lumMod val="75000"/>
                </a:schemeClr>
              </a:solidFill>
            </c:spPr>
          </c:dPt>
          <c:dLbls>
            <c:dLbl>
              <c:idx val="0"/>
              <c:tx>
                <c:rich>
                  <a:bodyPr/>
                  <a:lstStyle/>
                  <a:p>
                    <a:r>
                      <a:rPr lang="en-US"/>
                      <a:t>Turizm; </a:t>
                    </a:r>
                    <a:r>
                      <a:rPr lang="tr-TR"/>
                      <a:t>4,50</a:t>
                    </a:r>
                    <a:r>
                      <a:rPr lang="en-US"/>
                      <a:t>%</a:t>
                    </a:r>
                  </a:p>
                </c:rich>
              </c:tx>
              <c:showLegendKey val="0"/>
              <c:showVal val="1"/>
              <c:showCatName val="1"/>
              <c:showSerName val="0"/>
              <c:showPercent val="0"/>
              <c:showBubbleSize val="0"/>
            </c:dLbl>
            <c:dLbl>
              <c:idx val="1"/>
              <c:layout>
                <c:manualLayout>
                  <c:x val="-4.5105807086614172E-2"/>
                  <c:y val="-7.3056886165991652E-2"/>
                </c:manualLayout>
              </c:layout>
              <c:tx>
                <c:rich>
                  <a:bodyPr/>
                  <a:lstStyle/>
                  <a:p>
                    <a:r>
                      <a:rPr lang="en-US"/>
                      <a:t>Diğer; </a:t>
                    </a:r>
                    <a:r>
                      <a:rPr lang="tr-TR"/>
                      <a:t>95</a:t>
                    </a:r>
                    <a:r>
                      <a:rPr lang="en-US"/>
                      <a:t>,</a:t>
                    </a:r>
                    <a:r>
                      <a:rPr lang="tr-TR"/>
                      <a:t>50</a:t>
                    </a:r>
                    <a:r>
                      <a:rPr lang="en-US"/>
                      <a:t>%</a:t>
                    </a:r>
                  </a:p>
                </c:rich>
              </c:tx>
              <c:showLegendKey val="0"/>
              <c:showVal val="1"/>
              <c:showCatName val="1"/>
              <c:showSerName val="0"/>
              <c:showPercent val="0"/>
              <c:showBubbleSize val="0"/>
            </c:dLbl>
            <c:dLbl>
              <c:idx val="2"/>
              <c:layout>
                <c:manualLayout>
                  <c:x val="-0.14663476961213182"/>
                  <c:y val="-9.7260736205144138E-2"/>
                </c:manualLayout>
              </c:layout>
              <c:tx>
                <c:rich>
                  <a:bodyPr/>
                  <a:lstStyle/>
                  <a:p>
                    <a:r>
                      <a:rPr lang="en-US" sz="1200" b="1">
                        <a:solidFill>
                          <a:schemeClr val="bg1"/>
                        </a:solidFill>
                      </a:rPr>
                      <a:t>Turizm; 10,9</a:t>
                    </a:r>
                  </a:p>
                </c:rich>
              </c:tx>
              <c:showLegendKey val="0"/>
              <c:showVal val="1"/>
              <c:showCatName val="1"/>
              <c:showSerName val="0"/>
              <c:showPercent val="0"/>
              <c:showBubbleSize val="0"/>
              <c:separator> </c:separator>
            </c:dLbl>
            <c:dLbl>
              <c:idx val="3"/>
              <c:layout>
                <c:manualLayout>
                  <c:x val="0.14803824001166521"/>
                  <c:y val="-0.13575732019124576"/>
                </c:manualLayout>
              </c:layout>
              <c:tx>
                <c:rich>
                  <a:bodyPr/>
                  <a:lstStyle/>
                  <a:p>
                    <a:r>
                      <a:rPr lang="en-US" b="1">
                        <a:solidFill>
                          <a:schemeClr val="bg1"/>
                        </a:solidFill>
                      </a:rPr>
                      <a:t>Hizmet sektörü diğer; 60,8</a:t>
                    </a:r>
                  </a:p>
                </c:rich>
              </c:tx>
              <c:showLegendKey val="0"/>
              <c:showVal val="1"/>
              <c:showCatName val="1"/>
              <c:showSerName val="0"/>
              <c:showPercent val="0"/>
              <c:showBubbleSize val="0"/>
            </c:dLbl>
            <c:txPr>
              <a:bodyPr/>
              <a:lstStyle/>
              <a:p>
                <a:pPr>
                  <a:defRPr b="1"/>
                </a:pPr>
                <a:endParaRPr lang="tr-TR"/>
              </a:p>
            </c:txPr>
            <c:showLegendKey val="0"/>
            <c:showVal val="1"/>
            <c:showCatName val="1"/>
            <c:showSerName val="0"/>
            <c:showPercent val="0"/>
            <c:showBubbleSize val="0"/>
            <c:showLeaderLines val="1"/>
          </c:dLbls>
          <c:cat>
            <c:strRef>
              <c:f>Sayfa1!$A$2:$A$3</c:f>
              <c:strCache>
                <c:ptCount val="2"/>
                <c:pt idx="0">
                  <c:v>Turizm</c:v>
                </c:pt>
                <c:pt idx="1">
                  <c:v>Diğer</c:v>
                </c:pt>
              </c:strCache>
            </c:strRef>
          </c:cat>
          <c:val>
            <c:numRef>
              <c:f>Sayfa1!$B$2:$B$3</c:f>
              <c:numCache>
                <c:formatCode>0.00%</c:formatCode>
                <c:ptCount val="2"/>
                <c:pt idx="0">
                  <c:v>0.10299999999999999</c:v>
                </c:pt>
                <c:pt idx="1">
                  <c:v>0.89700000000000002</c:v>
                </c:pt>
              </c:numCache>
            </c:numRef>
          </c:val>
        </c:ser>
        <c:dLbls>
          <c:showLegendKey val="0"/>
          <c:showVal val="0"/>
          <c:showCatName val="0"/>
          <c:showSerName val="0"/>
          <c:showPercent val="0"/>
          <c:showBubbleSize val="0"/>
          <c:showLeaderLines val="1"/>
        </c:dLbls>
      </c:pie3DChart>
    </c:plotArea>
    <c:legend>
      <c:legendPos val="r"/>
      <c:overlay val="0"/>
    </c:legend>
    <c:plotVisOnly val="1"/>
    <c:dispBlanksAs val="gap"/>
    <c:showDLblsOverMax val="0"/>
  </c:chart>
  <c:spPr>
    <a:effectLst>
      <a:outerShdw blurRad="50800" dist="38100" dir="2700000" sx="101000" sy="101000" algn="tl" rotWithShape="0">
        <a:prstClr val="black">
          <a:alpha val="40000"/>
        </a:prstClr>
      </a:outerShdw>
    </a:effectLst>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ALMANYA'NIN SON </a:t>
            </a:r>
            <a:r>
              <a:rPr lang="tr-TR"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10 </a:t>
            </a: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YILDAKİ </a:t>
            </a:r>
            <a:endParaRPr lang="tr-TR"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ZİYARETÇİ SAYILARI</a:t>
            </a:r>
          </a:p>
        </c:rich>
      </c:tx>
      <c:overlay val="0"/>
    </c:title>
    <c:autoTitleDeleted val="0"/>
    <c:view3D>
      <c:rotX val="10"/>
      <c:rotY val="20"/>
      <c:rAngAx val="0"/>
      <c:perspective val="30"/>
    </c:view3D>
    <c:floor>
      <c:thickness val="0"/>
    </c:floor>
    <c:sideWall>
      <c:thickness val="0"/>
    </c:sideWall>
    <c:backWall>
      <c:thickness val="0"/>
    </c:backWall>
    <c:plotArea>
      <c:layout/>
      <c:area3DChart>
        <c:grouping val="stacked"/>
        <c:varyColors val="0"/>
        <c:ser>
          <c:idx val="0"/>
          <c:order val="0"/>
          <c:tx>
            <c:strRef>
              <c:f>Sayfa1!$B$1</c:f>
              <c:strCache>
                <c:ptCount val="1"/>
                <c:pt idx="0">
                  <c:v>ALMANYA'NIN SON YILDAKİ ZİYARETÇİ SAYILARI</c:v>
                </c:pt>
              </c:strCache>
            </c:strRef>
          </c:tx>
          <c:dLbls>
            <c:dLbl>
              <c:idx val="0"/>
              <c:layout>
                <c:manualLayout>
                  <c:x val="1.8518518518518517E-2"/>
                  <c:y val="-2.3809523809523808E-2"/>
                </c:manualLayout>
              </c:layout>
              <c:showLegendKey val="0"/>
              <c:showVal val="1"/>
              <c:showCatName val="0"/>
              <c:showSerName val="0"/>
              <c:showPercent val="0"/>
              <c:showBubbleSize val="0"/>
            </c:dLbl>
            <c:dLbl>
              <c:idx val="1"/>
              <c:layout>
                <c:manualLayout>
                  <c:x val="2.3148148148148147E-3"/>
                  <c:y val="-5.5555555555555483E-2"/>
                </c:manualLayout>
              </c:layout>
              <c:showLegendKey val="0"/>
              <c:showVal val="1"/>
              <c:showCatName val="0"/>
              <c:showSerName val="0"/>
              <c:showPercent val="0"/>
              <c:showBubbleSize val="0"/>
            </c:dLbl>
            <c:dLbl>
              <c:idx val="2"/>
              <c:layout>
                <c:manualLayout>
                  <c:x val="-4.6296296296296294E-3"/>
                  <c:y val="-8.3333333333333329E-2"/>
                </c:manualLayout>
              </c:layout>
              <c:showLegendKey val="0"/>
              <c:showVal val="1"/>
              <c:showCatName val="0"/>
              <c:showSerName val="0"/>
              <c:showPercent val="0"/>
              <c:showBubbleSize val="0"/>
            </c:dLbl>
            <c:dLbl>
              <c:idx val="3"/>
              <c:layout>
                <c:manualLayout>
                  <c:x val="-9.2592592592593021E-3"/>
                  <c:y val="-9.9206349206349284E-2"/>
                </c:manualLayout>
              </c:layout>
              <c:showLegendKey val="0"/>
              <c:showVal val="1"/>
              <c:showCatName val="0"/>
              <c:showSerName val="0"/>
              <c:showPercent val="0"/>
              <c:showBubbleSize val="0"/>
            </c:dLbl>
            <c:dLbl>
              <c:idx val="4"/>
              <c:layout>
                <c:manualLayout>
                  <c:x val="-1.8518518518518517E-2"/>
                  <c:y val="-0.13492063492063491"/>
                </c:manualLayout>
              </c:layout>
              <c:showLegendKey val="0"/>
              <c:showVal val="1"/>
              <c:showCatName val="0"/>
              <c:showSerName val="0"/>
              <c:showPercent val="0"/>
              <c:showBubbleSize val="0"/>
            </c:dLbl>
            <c:dLbl>
              <c:idx val="5"/>
              <c:layout>
                <c:manualLayout>
                  <c:x val="-1.6203703703703703E-2"/>
                  <c:y val="-0.15476190476190482"/>
                </c:manualLayout>
              </c:layout>
              <c:showLegendKey val="0"/>
              <c:showVal val="1"/>
              <c:showCatName val="0"/>
              <c:showSerName val="0"/>
              <c:showPercent val="0"/>
              <c:showBubbleSize val="0"/>
            </c:dLbl>
            <c:dLbl>
              <c:idx val="6"/>
              <c:layout>
                <c:manualLayout>
                  <c:x val="-3.0092592592592591E-2"/>
                  <c:y val="-0.1388888888888889"/>
                </c:manualLayout>
              </c:layout>
              <c:showLegendKey val="0"/>
              <c:showVal val="1"/>
              <c:showCatName val="0"/>
              <c:showSerName val="0"/>
              <c:showPercent val="0"/>
              <c:showBubbleSize val="0"/>
            </c:dLbl>
            <c:dLbl>
              <c:idx val="7"/>
              <c:layout>
                <c:manualLayout>
                  <c:x val="-1.8518518518518517E-2"/>
                  <c:y val="-0.16269841269841276"/>
                </c:manualLayout>
              </c:layout>
              <c:showLegendKey val="0"/>
              <c:showVal val="1"/>
              <c:showCatName val="0"/>
              <c:showSerName val="0"/>
              <c:showPercent val="0"/>
              <c:showBubbleSize val="0"/>
            </c:dLbl>
            <c:dLbl>
              <c:idx val="8"/>
              <c:layout>
                <c:manualLayout>
                  <c:x val="-4.6296296296297144E-3"/>
                  <c:y val="-0.17857142857142858"/>
                </c:manualLayout>
              </c:layout>
              <c:showLegendKey val="0"/>
              <c:showVal val="1"/>
              <c:showCatName val="0"/>
              <c:showSerName val="0"/>
              <c:showPercent val="0"/>
              <c:showBubbleSize val="0"/>
            </c:dLbl>
            <c:dLbl>
              <c:idx val="9"/>
              <c:layout>
                <c:manualLayout>
                  <c:x val="-2.0833333333333332E-2"/>
                  <c:y val="-0.18253968253968261"/>
                </c:manualLayout>
              </c:layout>
              <c:showLegendKey val="0"/>
              <c:showVal val="1"/>
              <c:showCatName val="0"/>
              <c:showSerName val="0"/>
              <c:showPercent val="0"/>
              <c:showBubbleSize val="0"/>
            </c:dLbl>
            <c:txPr>
              <a:bodyPr/>
              <a:lstStyle/>
              <a:p>
                <a:pPr>
                  <a:defRPr b="1"/>
                </a:pPr>
                <a:endParaRPr lang="tr-TR"/>
              </a:p>
            </c:txPr>
            <c:showLegendKey val="0"/>
            <c:showVal val="1"/>
            <c:showCatName val="0"/>
            <c:showSerName val="0"/>
            <c:showPercent val="0"/>
            <c:showBubbleSize val="0"/>
            <c:showLeaderLines val="0"/>
          </c:dLbls>
          <c:cat>
            <c:numRef>
              <c:f>Sayfa1!$A$2:$A$11</c:f>
              <c:numCache>
                <c:formatCode>General</c:formatCode>
                <c:ptCount val="10"/>
                <c:pt idx="0">
                  <c:v>2003</c:v>
                </c:pt>
                <c:pt idx="1">
                  <c:v>2004</c:v>
                </c:pt>
                <c:pt idx="2">
                  <c:v>2005</c:v>
                </c:pt>
                <c:pt idx="3">
                  <c:v>2006</c:v>
                </c:pt>
                <c:pt idx="4">
                  <c:v>2007</c:v>
                </c:pt>
                <c:pt idx="5">
                  <c:v>2008</c:v>
                </c:pt>
                <c:pt idx="6">
                  <c:v>2009</c:v>
                </c:pt>
                <c:pt idx="7">
                  <c:v>2010</c:v>
                </c:pt>
                <c:pt idx="8">
                  <c:v>2011</c:v>
                </c:pt>
                <c:pt idx="9">
                  <c:v>2012</c:v>
                </c:pt>
              </c:numCache>
            </c:numRef>
          </c:cat>
          <c:val>
            <c:numRef>
              <c:f>Sayfa1!$B$2:$B$11</c:f>
              <c:numCache>
                <c:formatCode>General</c:formatCode>
                <c:ptCount val="10"/>
                <c:pt idx="0">
                  <c:v>18.399999999999999</c:v>
                </c:pt>
                <c:pt idx="1">
                  <c:v>20.100000000000001</c:v>
                </c:pt>
                <c:pt idx="2">
                  <c:v>21.5</c:v>
                </c:pt>
                <c:pt idx="3">
                  <c:v>23.5</c:v>
                </c:pt>
                <c:pt idx="4">
                  <c:v>24.4</c:v>
                </c:pt>
                <c:pt idx="5">
                  <c:v>24.8</c:v>
                </c:pt>
                <c:pt idx="6">
                  <c:v>24.2</c:v>
                </c:pt>
                <c:pt idx="7">
                  <c:v>26.9</c:v>
                </c:pt>
                <c:pt idx="8">
                  <c:v>28.4</c:v>
                </c:pt>
                <c:pt idx="9">
                  <c:v>30.4</c:v>
                </c:pt>
              </c:numCache>
            </c:numRef>
          </c:val>
        </c:ser>
        <c:dLbls>
          <c:showLegendKey val="0"/>
          <c:showVal val="0"/>
          <c:showCatName val="0"/>
          <c:showSerName val="0"/>
          <c:showPercent val="0"/>
          <c:showBubbleSize val="0"/>
        </c:dLbls>
        <c:axId val="75924480"/>
        <c:axId val="202377472"/>
        <c:axId val="0"/>
      </c:area3DChart>
      <c:catAx>
        <c:axId val="75924480"/>
        <c:scaling>
          <c:orientation val="minMax"/>
        </c:scaling>
        <c:delete val="0"/>
        <c:axPos val="b"/>
        <c:numFmt formatCode="General" sourceLinked="1"/>
        <c:majorTickMark val="out"/>
        <c:minorTickMark val="none"/>
        <c:tickLblPos val="nextTo"/>
        <c:txPr>
          <a:bodyPr/>
          <a:lstStyle/>
          <a:p>
            <a:pPr>
              <a:defRPr b="1"/>
            </a:pPr>
            <a:endParaRPr lang="tr-TR"/>
          </a:p>
        </c:txPr>
        <c:crossAx val="202377472"/>
        <c:crosses val="autoZero"/>
        <c:auto val="1"/>
        <c:lblAlgn val="ctr"/>
        <c:lblOffset val="100"/>
        <c:noMultiLvlLbl val="0"/>
      </c:catAx>
      <c:valAx>
        <c:axId val="202377472"/>
        <c:scaling>
          <c:orientation val="minMax"/>
        </c:scaling>
        <c:delete val="0"/>
        <c:axPos val="l"/>
        <c:majorGridlines/>
        <c:numFmt formatCode="General" sourceLinked="1"/>
        <c:majorTickMark val="out"/>
        <c:minorTickMark val="none"/>
        <c:tickLblPos val="nextTo"/>
        <c:crossAx val="75924480"/>
        <c:crosses val="autoZero"/>
        <c:crossBetween val="midCat"/>
      </c:valAx>
    </c:plotArea>
    <c:plotVisOnly val="1"/>
    <c:dispBlanksAs val="zero"/>
    <c:showDLblsOverMax val="0"/>
  </c:chart>
  <c:spPr>
    <a:effectLst>
      <a:outerShdw blurRad="50800" dist="38100" dir="18900000" algn="bl" rotWithShape="0">
        <a:prstClr val="black">
          <a:alpha val="40000"/>
        </a:prstClr>
      </a:outerShdw>
    </a:effectLst>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70"/>
      <c:rAngAx val="1"/>
    </c:view3D>
    <c:floor>
      <c:thickness val="0"/>
    </c:floor>
    <c:sideWall>
      <c:thickness val="0"/>
    </c:sideWall>
    <c:backWall>
      <c:thickness val="0"/>
    </c:backWall>
    <c:plotArea>
      <c:layout>
        <c:manualLayout>
          <c:layoutTarget val="inner"/>
          <c:xMode val="edge"/>
          <c:yMode val="edge"/>
          <c:x val="7.1726450860309127E-2"/>
          <c:y val="7.3951068616422949E-2"/>
          <c:w val="0.69414206036745407"/>
          <c:h val="0.78293119610048745"/>
        </c:manualLayout>
      </c:layout>
      <c:bar3DChart>
        <c:barDir val="col"/>
        <c:grouping val="stacked"/>
        <c:varyColors val="0"/>
        <c:ser>
          <c:idx val="0"/>
          <c:order val="0"/>
          <c:tx>
            <c:strRef>
              <c:f>Sayfa1!$B$1</c:f>
              <c:strCache>
                <c:ptCount val="1"/>
                <c:pt idx="0">
                  <c:v>ALMAN TURİST GECELEME SAYISI</c:v>
                </c:pt>
              </c:strCache>
            </c:strRef>
          </c:tx>
          <c:invertIfNegative val="0"/>
          <c:dLbls>
            <c:txPr>
              <a:bodyPr/>
              <a:lstStyle/>
              <a:p>
                <a:pPr>
                  <a:defRPr b="1"/>
                </a:pPr>
                <a:endParaRPr lang="tr-TR"/>
              </a:p>
            </c:txPr>
            <c:showLegendKey val="0"/>
            <c:showVal val="1"/>
            <c:showCatName val="0"/>
            <c:showSerName val="0"/>
            <c:showPercent val="0"/>
            <c:showBubbleSize val="0"/>
            <c:showLeaderLines val="0"/>
          </c:dLbls>
          <c:cat>
            <c:numRef>
              <c:f>Sayfa1!$A$2:$A$10</c:f>
              <c:numCache>
                <c:formatCode>General</c:formatCode>
                <c:ptCount val="9"/>
                <c:pt idx="0">
                  <c:v>2005</c:v>
                </c:pt>
                <c:pt idx="1">
                  <c:v>2006</c:v>
                </c:pt>
                <c:pt idx="2">
                  <c:v>2007</c:v>
                </c:pt>
                <c:pt idx="3">
                  <c:v>2008</c:v>
                </c:pt>
                <c:pt idx="4">
                  <c:v>2009</c:v>
                </c:pt>
                <c:pt idx="5">
                  <c:v>2010</c:v>
                </c:pt>
                <c:pt idx="6">
                  <c:v>2011</c:v>
                </c:pt>
                <c:pt idx="7">
                  <c:v>2012</c:v>
                </c:pt>
                <c:pt idx="8">
                  <c:v>2013</c:v>
                </c:pt>
              </c:numCache>
            </c:numRef>
          </c:cat>
          <c:val>
            <c:numRef>
              <c:f>Sayfa1!$B$2:$B$10</c:f>
              <c:numCache>
                <c:formatCode>General</c:formatCode>
                <c:ptCount val="9"/>
                <c:pt idx="0">
                  <c:v>296</c:v>
                </c:pt>
                <c:pt idx="1">
                  <c:v>298.5</c:v>
                </c:pt>
                <c:pt idx="2">
                  <c:v>307.10000000000002</c:v>
                </c:pt>
                <c:pt idx="3">
                  <c:v>313.10000000000002</c:v>
                </c:pt>
                <c:pt idx="4">
                  <c:v>314</c:v>
                </c:pt>
                <c:pt idx="5">
                  <c:v>320</c:v>
                </c:pt>
                <c:pt idx="6">
                  <c:v>330.3</c:v>
                </c:pt>
                <c:pt idx="7">
                  <c:v>338.6</c:v>
                </c:pt>
                <c:pt idx="8">
                  <c:v>339.2</c:v>
                </c:pt>
              </c:numCache>
            </c:numRef>
          </c:val>
        </c:ser>
        <c:ser>
          <c:idx val="1"/>
          <c:order val="1"/>
          <c:tx>
            <c:strRef>
              <c:f>Sayfa1!$C$1</c:f>
              <c:strCache>
                <c:ptCount val="1"/>
                <c:pt idx="0">
                  <c:v>YABANCI TURİST GECELEME SAYISI</c:v>
                </c:pt>
              </c:strCache>
            </c:strRef>
          </c:tx>
          <c:invertIfNegative val="0"/>
          <c:dLbls>
            <c:txPr>
              <a:bodyPr/>
              <a:lstStyle/>
              <a:p>
                <a:pPr>
                  <a:defRPr b="1"/>
                </a:pPr>
                <a:endParaRPr lang="tr-TR"/>
              </a:p>
            </c:txPr>
            <c:showLegendKey val="0"/>
            <c:showVal val="1"/>
            <c:showCatName val="0"/>
            <c:showSerName val="0"/>
            <c:showPercent val="0"/>
            <c:showBubbleSize val="0"/>
            <c:showLeaderLines val="0"/>
          </c:dLbls>
          <c:cat>
            <c:numRef>
              <c:f>Sayfa1!$A$2:$A$10</c:f>
              <c:numCache>
                <c:formatCode>General</c:formatCode>
                <c:ptCount val="9"/>
                <c:pt idx="0">
                  <c:v>2005</c:v>
                </c:pt>
                <c:pt idx="1">
                  <c:v>2006</c:v>
                </c:pt>
                <c:pt idx="2">
                  <c:v>2007</c:v>
                </c:pt>
                <c:pt idx="3">
                  <c:v>2008</c:v>
                </c:pt>
                <c:pt idx="4">
                  <c:v>2009</c:v>
                </c:pt>
                <c:pt idx="5">
                  <c:v>2010</c:v>
                </c:pt>
                <c:pt idx="6">
                  <c:v>2011</c:v>
                </c:pt>
                <c:pt idx="7">
                  <c:v>2012</c:v>
                </c:pt>
                <c:pt idx="8">
                  <c:v>2013</c:v>
                </c:pt>
              </c:numCache>
            </c:numRef>
          </c:cat>
          <c:val>
            <c:numRef>
              <c:f>Sayfa1!$C$2:$C$10</c:f>
              <c:numCache>
                <c:formatCode>General</c:formatCode>
                <c:ptCount val="9"/>
                <c:pt idx="0">
                  <c:v>48</c:v>
                </c:pt>
                <c:pt idx="1">
                  <c:v>52.9</c:v>
                </c:pt>
                <c:pt idx="2">
                  <c:v>54.8</c:v>
                </c:pt>
                <c:pt idx="3">
                  <c:v>56.5</c:v>
                </c:pt>
                <c:pt idx="4">
                  <c:v>54.9</c:v>
                </c:pt>
                <c:pt idx="5">
                  <c:v>60.3</c:v>
                </c:pt>
                <c:pt idx="6">
                  <c:v>63.8</c:v>
                </c:pt>
                <c:pt idx="7">
                  <c:v>68.8</c:v>
                </c:pt>
                <c:pt idx="8">
                  <c:v>71.599999999999994</c:v>
                </c:pt>
              </c:numCache>
            </c:numRef>
          </c:val>
        </c:ser>
        <c:dLbls>
          <c:showLegendKey val="0"/>
          <c:showVal val="0"/>
          <c:showCatName val="0"/>
          <c:showSerName val="0"/>
          <c:showPercent val="0"/>
          <c:showBubbleSize val="0"/>
        </c:dLbls>
        <c:gapWidth val="150"/>
        <c:shape val="box"/>
        <c:axId val="170468864"/>
        <c:axId val="202378624"/>
        <c:axId val="0"/>
      </c:bar3DChart>
      <c:catAx>
        <c:axId val="170468864"/>
        <c:scaling>
          <c:orientation val="minMax"/>
        </c:scaling>
        <c:delete val="0"/>
        <c:axPos val="b"/>
        <c:numFmt formatCode="General" sourceLinked="1"/>
        <c:majorTickMark val="out"/>
        <c:minorTickMark val="none"/>
        <c:tickLblPos val="nextTo"/>
        <c:txPr>
          <a:bodyPr/>
          <a:lstStyle/>
          <a:p>
            <a:pPr>
              <a:defRPr b="1"/>
            </a:pPr>
            <a:endParaRPr lang="tr-TR"/>
          </a:p>
        </c:txPr>
        <c:crossAx val="202378624"/>
        <c:crosses val="autoZero"/>
        <c:auto val="1"/>
        <c:lblAlgn val="ctr"/>
        <c:lblOffset val="100"/>
        <c:noMultiLvlLbl val="0"/>
      </c:catAx>
      <c:valAx>
        <c:axId val="202378624"/>
        <c:scaling>
          <c:orientation val="minMax"/>
        </c:scaling>
        <c:delete val="0"/>
        <c:axPos val="l"/>
        <c:majorGridlines/>
        <c:numFmt formatCode="General" sourceLinked="1"/>
        <c:majorTickMark val="out"/>
        <c:minorTickMark val="none"/>
        <c:tickLblPos val="nextTo"/>
        <c:crossAx val="170468864"/>
        <c:crosses val="autoZero"/>
        <c:crossBetween val="between"/>
      </c:valAx>
    </c:plotArea>
    <c:legend>
      <c:legendPos val="r"/>
      <c:layout>
        <c:manualLayout>
          <c:xMode val="edge"/>
          <c:yMode val="edge"/>
          <c:x val="0.76541666666666663"/>
          <c:y val="0.38044267602886678"/>
          <c:w val="0.22069444444444444"/>
          <c:h val="0.34216095182367856"/>
        </c:manualLayout>
      </c:layout>
      <c:overlay val="0"/>
    </c:legend>
    <c:plotVisOnly val="1"/>
    <c:dispBlanksAs val="gap"/>
    <c:showDLblsOverMax val="0"/>
  </c:chart>
  <c:spPr>
    <a:gradFill>
      <a:gsLst>
        <a:gs pos="0">
          <a:schemeClr val="bg1"/>
        </a:gs>
        <a:gs pos="50000">
          <a:schemeClr val="accent1">
            <a:tint val="44500"/>
            <a:satMod val="160000"/>
          </a:schemeClr>
        </a:gs>
        <a:gs pos="100000">
          <a:schemeClr val="accent1">
            <a:tint val="23500"/>
            <a:satMod val="160000"/>
          </a:schemeClr>
        </a:gs>
      </a:gsLst>
      <a:lin ang="5400000" scaled="0"/>
    </a:gradFill>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ALMANYA'NIN </a:t>
            </a:r>
            <a:r>
              <a:rPr lang="en-US" sz="1800" b="1" i="0" u="none" strike="noStrike" cap="none" spc="0" baseline="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SON 10 YIL</a:t>
            </a:r>
            <a:r>
              <a:rPr lang="tr-TR" sz="1800" b="1" i="0" u="none" strike="noStrike" cap="none" spc="0" baseline="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DAKİ</a:t>
            </a:r>
          </a:p>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TURİZM GELİRİ</a:t>
            </a:r>
            <a:r>
              <a:rPr lang="tr-TR" b="1" cap="none" spc="0" baseline="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(milyar $)</a:t>
            </a:r>
            <a:endPar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endParaRPr>
          </a:p>
        </c:rich>
      </c:tx>
      <c:overlay val="0"/>
    </c:title>
    <c:autoTitleDeleted val="0"/>
    <c:view3D>
      <c:rotX val="15"/>
      <c:rotY val="20"/>
      <c:rAngAx val="0"/>
      <c:perspective val="70"/>
    </c:view3D>
    <c:floor>
      <c:thickness val="0"/>
    </c:floor>
    <c:sideWall>
      <c:thickness val="0"/>
    </c:sideWall>
    <c:backWall>
      <c:thickness val="0"/>
    </c:backWall>
    <c:plotArea>
      <c:layout/>
      <c:line3DChart>
        <c:grouping val="standard"/>
        <c:varyColors val="0"/>
        <c:ser>
          <c:idx val="0"/>
          <c:order val="0"/>
          <c:tx>
            <c:strRef>
              <c:f>Sayfa1!$B$1</c:f>
              <c:strCache>
                <c:ptCount val="1"/>
                <c:pt idx="0">
                  <c:v>ALMANYA'NIN TURİZM GELİRİ (SON 10 YIL)</c:v>
                </c:pt>
              </c:strCache>
            </c:strRef>
          </c:tx>
          <c:spPr>
            <a:solidFill>
              <a:srgbClr val="FF0000"/>
            </a:solidFill>
          </c:spPr>
          <c:dLbls>
            <c:dLbl>
              <c:idx val="0"/>
              <c:layout>
                <c:manualLayout>
                  <c:x val="-1.3888888888888911E-2"/>
                  <c:y val="3.1746031746031744E-2"/>
                </c:manualLayout>
              </c:layout>
              <c:showLegendKey val="0"/>
              <c:showVal val="1"/>
              <c:showCatName val="0"/>
              <c:showSerName val="0"/>
              <c:showPercent val="0"/>
              <c:showBubbleSize val="0"/>
            </c:dLbl>
            <c:dLbl>
              <c:idx val="1"/>
              <c:layout>
                <c:manualLayout>
                  <c:x val="-2.3148148148148147E-3"/>
                  <c:y val="2.3809523809523808E-2"/>
                </c:manualLayout>
              </c:layout>
              <c:showLegendKey val="0"/>
              <c:showVal val="1"/>
              <c:showCatName val="0"/>
              <c:showSerName val="0"/>
              <c:showPercent val="0"/>
              <c:showBubbleSize val="0"/>
            </c:dLbl>
            <c:dLbl>
              <c:idx val="2"/>
              <c:layout>
                <c:manualLayout>
                  <c:x val="-4.6296296296296294E-3"/>
                  <c:y val="7.9365079365079361E-3"/>
                </c:manualLayout>
              </c:layout>
              <c:showLegendKey val="0"/>
              <c:showVal val="1"/>
              <c:showCatName val="0"/>
              <c:showSerName val="0"/>
              <c:showPercent val="0"/>
              <c:showBubbleSize val="0"/>
            </c:dLbl>
            <c:dLbl>
              <c:idx val="3"/>
              <c:layout>
                <c:manualLayout>
                  <c:x val="-4.2437781360066642E-17"/>
                  <c:y val="1.984126984126984E-2"/>
                </c:manualLayout>
              </c:layout>
              <c:showLegendKey val="0"/>
              <c:showVal val="1"/>
              <c:showCatName val="0"/>
              <c:showSerName val="0"/>
              <c:showPercent val="0"/>
              <c:showBubbleSize val="0"/>
            </c:dLbl>
            <c:dLbl>
              <c:idx val="4"/>
              <c:layout>
                <c:manualLayout>
                  <c:x val="9.2592592592592587E-3"/>
                  <c:y val="7.9365079365079725E-3"/>
                </c:manualLayout>
              </c:layout>
              <c:showLegendKey val="0"/>
              <c:showVal val="1"/>
              <c:showCatName val="0"/>
              <c:showSerName val="0"/>
              <c:showPercent val="0"/>
              <c:showBubbleSize val="0"/>
            </c:dLbl>
            <c:dLbl>
              <c:idx val="5"/>
              <c:layout>
                <c:manualLayout>
                  <c:x val="0"/>
                  <c:y val="-1.5873015873015872E-2"/>
                </c:manualLayout>
              </c:layout>
              <c:showLegendKey val="0"/>
              <c:showVal val="1"/>
              <c:showCatName val="0"/>
              <c:showSerName val="0"/>
              <c:showPercent val="0"/>
              <c:showBubbleSize val="0"/>
            </c:dLbl>
            <c:dLbl>
              <c:idx val="6"/>
              <c:layout>
                <c:manualLayout>
                  <c:x val="4.6296296296296294E-3"/>
                  <c:y val="-1.5873015873015837E-2"/>
                </c:manualLayout>
              </c:layout>
              <c:showLegendKey val="0"/>
              <c:showVal val="1"/>
              <c:showCatName val="0"/>
              <c:showSerName val="0"/>
              <c:showPercent val="0"/>
              <c:showBubbleSize val="0"/>
            </c:dLbl>
            <c:dLbl>
              <c:idx val="7"/>
              <c:layout>
                <c:manualLayout>
                  <c:x val="0"/>
                  <c:y val="-1.984126984126984E-2"/>
                </c:manualLayout>
              </c:layout>
              <c:showLegendKey val="0"/>
              <c:showVal val="1"/>
              <c:showCatName val="0"/>
              <c:showSerName val="0"/>
              <c:showPercent val="0"/>
              <c:showBubbleSize val="0"/>
            </c:dLbl>
            <c:dLbl>
              <c:idx val="8"/>
              <c:layout>
                <c:manualLayout>
                  <c:x val="4.6294473607464883E-3"/>
                  <c:y val="-1.9865950199347771E-2"/>
                </c:manualLayout>
              </c:layout>
              <c:showLegendKey val="0"/>
              <c:showVal val="1"/>
              <c:showCatName val="0"/>
              <c:showSerName val="0"/>
              <c:showPercent val="0"/>
              <c:showBubbleSize val="0"/>
            </c:dLbl>
            <c:dLbl>
              <c:idx val="9"/>
              <c:layout>
                <c:manualLayout>
                  <c:x val="-6.9444444444444441E-3"/>
                  <c:y val="1.5873015873015837E-2"/>
                </c:manualLayout>
              </c:layout>
              <c:showLegendKey val="0"/>
              <c:showVal val="1"/>
              <c:showCatName val="0"/>
              <c:showSerName val="0"/>
              <c:showPercent val="0"/>
              <c:showBubbleSize val="0"/>
            </c:dLbl>
            <c:txPr>
              <a:bodyPr/>
              <a:lstStyle/>
              <a:p>
                <a:pPr>
                  <a:defRPr b="1"/>
                </a:pPr>
                <a:endParaRPr lang="tr-TR"/>
              </a:p>
            </c:txPr>
            <c:showLegendKey val="0"/>
            <c:showVal val="1"/>
            <c:showCatName val="0"/>
            <c:showSerName val="0"/>
            <c:showPercent val="0"/>
            <c:showBubbleSize val="0"/>
            <c:showLeaderLines val="0"/>
          </c:dLbls>
          <c:cat>
            <c:numRef>
              <c:f>Sayfa1!$A$2:$A$11</c:f>
              <c:numCache>
                <c:formatCode>General</c:formatCode>
                <c:ptCount val="10"/>
                <c:pt idx="0">
                  <c:v>2003</c:v>
                </c:pt>
                <c:pt idx="1">
                  <c:v>2004</c:v>
                </c:pt>
                <c:pt idx="2">
                  <c:v>2005</c:v>
                </c:pt>
                <c:pt idx="3">
                  <c:v>2006</c:v>
                </c:pt>
                <c:pt idx="4">
                  <c:v>2007</c:v>
                </c:pt>
                <c:pt idx="5">
                  <c:v>2008</c:v>
                </c:pt>
                <c:pt idx="6">
                  <c:v>2009</c:v>
                </c:pt>
                <c:pt idx="7">
                  <c:v>2010</c:v>
                </c:pt>
                <c:pt idx="8">
                  <c:v>2011</c:v>
                </c:pt>
                <c:pt idx="9">
                  <c:v>2012</c:v>
                </c:pt>
              </c:numCache>
            </c:numRef>
          </c:cat>
          <c:val>
            <c:numRef>
              <c:f>Sayfa1!$B$2:$B$11</c:f>
              <c:numCache>
                <c:formatCode>General</c:formatCode>
                <c:ptCount val="10"/>
                <c:pt idx="0">
                  <c:v>23.1</c:v>
                </c:pt>
                <c:pt idx="1">
                  <c:v>27.7</c:v>
                </c:pt>
                <c:pt idx="2">
                  <c:v>29.2</c:v>
                </c:pt>
                <c:pt idx="3">
                  <c:v>32.799999999999997</c:v>
                </c:pt>
                <c:pt idx="4">
                  <c:v>36</c:v>
                </c:pt>
                <c:pt idx="5">
                  <c:v>39.9</c:v>
                </c:pt>
                <c:pt idx="6">
                  <c:v>34.6</c:v>
                </c:pt>
                <c:pt idx="7">
                  <c:v>34.700000000000003</c:v>
                </c:pt>
                <c:pt idx="8">
                  <c:v>38.9</c:v>
                </c:pt>
                <c:pt idx="9">
                  <c:v>38.1</c:v>
                </c:pt>
              </c:numCache>
            </c:numRef>
          </c:val>
          <c:smooth val="0"/>
        </c:ser>
        <c:dLbls>
          <c:showLegendKey val="0"/>
          <c:showVal val="0"/>
          <c:showCatName val="0"/>
          <c:showSerName val="0"/>
          <c:showPercent val="0"/>
          <c:showBubbleSize val="0"/>
        </c:dLbls>
        <c:axId val="170469376"/>
        <c:axId val="202380352"/>
        <c:axId val="76588928"/>
      </c:line3DChart>
      <c:catAx>
        <c:axId val="170469376"/>
        <c:scaling>
          <c:orientation val="minMax"/>
        </c:scaling>
        <c:delete val="0"/>
        <c:axPos val="b"/>
        <c:numFmt formatCode="General" sourceLinked="1"/>
        <c:majorTickMark val="out"/>
        <c:minorTickMark val="none"/>
        <c:tickLblPos val="nextTo"/>
        <c:txPr>
          <a:bodyPr/>
          <a:lstStyle/>
          <a:p>
            <a:pPr>
              <a:defRPr b="1"/>
            </a:pPr>
            <a:endParaRPr lang="tr-TR"/>
          </a:p>
        </c:txPr>
        <c:crossAx val="202380352"/>
        <c:crosses val="autoZero"/>
        <c:auto val="1"/>
        <c:lblAlgn val="ctr"/>
        <c:lblOffset val="100"/>
        <c:noMultiLvlLbl val="0"/>
      </c:catAx>
      <c:valAx>
        <c:axId val="202380352"/>
        <c:scaling>
          <c:orientation val="minMax"/>
        </c:scaling>
        <c:delete val="0"/>
        <c:axPos val="l"/>
        <c:majorGridlines/>
        <c:numFmt formatCode="General" sourceLinked="1"/>
        <c:majorTickMark val="out"/>
        <c:minorTickMark val="none"/>
        <c:tickLblPos val="nextTo"/>
        <c:crossAx val="170469376"/>
        <c:crosses val="autoZero"/>
        <c:crossBetween val="between"/>
      </c:valAx>
      <c:serAx>
        <c:axId val="76588928"/>
        <c:scaling>
          <c:orientation val="minMax"/>
        </c:scaling>
        <c:delete val="1"/>
        <c:axPos val="b"/>
        <c:majorTickMark val="out"/>
        <c:minorTickMark val="none"/>
        <c:tickLblPos val="nextTo"/>
        <c:crossAx val="202380352"/>
        <c:crosses val="autoZero"/>
      </c:serAx>
      <c:spPr>
        <a:gradFill>
          <a:gsLst>
            <a:gs pos="0">
              <a:schemeClr val="bg1"/>
            </a:gs>
            <a:gs pos="50000">
              <a:schemeClr val="accent1">
                <a:tint val="44500"/>
                <a:satMod val="160000"/>
              </a:schemeClr>
            </a:gs>
            <a:gs pos="100000">
              <a:schemeClr val="accent1">
                <a:tint val="23500"/>
                <a:satMod val="160000"/>
              </a:schemeClr>
            </a:gs>
          </a:gsLst>
          <a:lin ang="5400000" scaled="0"/>
        </a:gradFill>
      </c:spPr>
    </c:plotArea>
    <c:plotVisOnly val="1"/>
    <c:dispBlanksAs val="gap"/>
    <c:showDLblsOverMax val="0"/>
  </c:chart>
  <c:spPr>
    <a:effectLst>
      <a:outerShdw blurRad="50800" dist="38100" dir="18900000" algn="bl" rotWithShape="0">
        <a:prstClr val="black">
          <a:alpha val="40000"/>
        </a:prstClr>
      </a:outerShdw>
    </a:effectLst>
    <a:scene3d>
      <a:camera prst="orthographicFront"/>
      <a:lightRig rig="threePt" dir="t"/>
    </a:scene3d>
    <a:sp3d/>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ALMANLARIN 2013 YILINDA</a:t>
            </a:r>
            <a:r>
              <a:rPr lang="tr-TR"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TATİL İÇİN </a:t>
            </a: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TERCİH ETTİKLERİ DESTİNASYONLAR (%)</a:t>
            </a:r>
          </a:p>
        </c:rich>
      </c:tx>
      <c:layout>
        <c:manualLayout>
          <c:xMode val="edge"/>
          <c:yMode val="edge"/>
          <c:x val="0.15657407407407409"/>
          <c:y val="0"/>
        </c:manualLayout>
      </c:layout>
      <c:overlay val="0"/>
    </c:title>
    <c:autoTitleDeleted val="0"/>
    <c:view3D>
      <c:rotX val="20"/>
      <c:rotY val="210"/>
      <c:rAngAx val="0"/>
      <c:perspective val="30"/>
    </c:view3D>
    <c:floor>
      <c:thickness val="0"/>
    </c:floor>
    <c:sideWall>
      <c:thickness val="0"/>
    </c:sideWall>
    <c:backWall>
      <c:thickness val="0"/>
    </c:backWall>
    <c:plotArea>
      <c:layout/>
      <c:pie3DChart>
        <c:varyColors val="1"/>
        <c:ser>
          <c:idx val="0"/>
          <c:order val="0"/>
          <c:tx>
            <c:strRef>
              <c:f>Sayfa1!$B$1</c:f>
              <c:strCache>
                <c:ptCount val="1"/>
                <c:pt idx="0">
                  <c:v>ALMANLARIN 2013 YILINDA TERCİH ETTİKLERİ TATİL DESTİNASYONLARI (%)</c:v>
                </c:pt>
              </c:strCache>
            </c:strRef>
          </c:tx>
          <c:explosion val="25"/>
          <c:dLbls>
            <c:dLbl>
              <c:idx val="7"/>
              <c:layout>
                <c:manualLayout>
                  <c:x val="-8.487058909303008E-2"/>
                  <c:y val="5.4805649293838271E-3"/>
                </c:manualLayout>
              </c:layout>
              <c:showLegendKey val="0"/>
              <c:showVal val="1"/>
              <c:showCatName val="1"/>
              <c:showSerName val="0"/>
              <c:showPercent val="0"/>
              <c:showBubbleSize val="0"/>
            </c:dLbl>
            <c:dLbl>
              <c:idx val="8"/>
              <c:layout>
                <c:manualLayout>
                  <c:x val="0.11986493875765533"/>
                  <c:y val="-0.11491626046744156"/>
                </c:manualLayout>
              </c:layout>
              <c:showLegendKey val="0"/>
              <c:showVal val="1"/>
              <c:showCatName val="1"/>
              <c:showSerName val="0"/>
              <c:showPercent val="0"/>
              <c:showBubbleSize val="0"/>
            </c:dLbl>
            <c:dLbl>
              <c:idx val="10"/>
              <c:layout>
                <c:manualLayout>
                  <c:x val="-0.13401447214931467"/>
                  <c:y val="0.14093300837395326"/>
                </c:manualLayout>
              </c:layout>
              <c:showLegendKey val="0"/>
              <c:showVal val="1"/>
              <c:showCatName val="1"/>
              <c:showSerName val="0"/>
              <c:showPercent val="0"/>
              <c:showBubbleSize val="0"/>
            </c:dLbl>
            <c:txPr>
              <a:bodyPr/>
              <a:lstStyle/>
              <a:p>
                <a:pPr>
                  <a:defRPr b="1"/>
                </a:pPr>
                <a:endParaRPr lang="tr-TR"/>
              </a:p>
            </c:txPr>
            <c:showLegendKey val="0"/>
            <c:showVal val="1"/>
            <c:showCatName val="1"/>
            <c:showSerName val="0"/>
            <c:showPercent val="0"/>
            <c:showBubbleSize val="0"/>
            <c:showLeaderLines val="1"/>
          </c:dLbls>
          <c:cat>
            <c:strRef>
              <c:f>Sayfa1!$A$2:$A$12</c:f>
              <c:strCache>
                <c:ptCount val="11"/>
                <c:pt idx="0">
                  <c:v>ALMANYA</c:v>
                </c:pt>
                <c:pt idx="1">
                  <c:v>İSPANYA</c:v>
                </c:pt>
                <c:pt idx="2">
                  <c:v>İTALYA</c:v>
                </c:pt>
                <c:pt idx="3">
                  <c:v>TÜRKİYE</c:v>
                </c:pt>
                <c:pt idx="4">
                  <c:v>AVUSTURYA</c:v>
                </c:pt>
                <c:pt idx="5">
                  <c:v>FRANSA</c:v>
                </c:pt>
                <c:pt idx="6">
                  <c:v>HIRVATİSTAN</c:v>
                </c:pt>
                <c:pt idx="7">
                  <c:v>YUNANİSTAN</c:v>
                </c:pt>
                <c:pt idx="8">
                  <c:v>POLONYA</c:v>
                </c:pt>
                <c:pt idx="9">
                  <c:v>HOLLANDA</c:v>
                </c:pt>
                <c:pt idx="10">
                  <c:v>DANİMARKA</c:v>
                </c:pt>
              </c:strCache>
            </c:strRef>
          </c:cat>
          <c:val>
            <c:numRef>
              <c:f>Sayfa1!$B$2:$B$12</c:f>
              <c:numCache>
                <c:formatCode>0.00%</c:formatCode>
                <c:ptCount val="11"/>
                <c:pt idx="0">
                  <c:v>0.30299999999999999</c:v>
                </c:pt>
                <c:pt idx="1">
                  <c:v>0.126</c:v>
                </c:pt>
                <c:pt idx="2">
                  <c:v>7.5999999999999998E-2</c:v>
                </c:pt>
                <c:pt idx="3">
                  <c:v>7.3999999999999996E-2</c:v>
                </c:pt>
                <c:pt idx="4">
                  <c:v>5.8999999999999997E-2</c:v>
                </c:pt>
                <c:pt idx="5">
                  <c:v>3.1E-2</c:v>
                </c:pt>
                <c:pt idx="6">
                  <c:v>2.9000000000000001E-2</c:v>
                </c:pt>
                <c:pt idx="7">
                  <c:v>2.1999999999999999E-2</c:v>
                </c:pt>
                <c:pt idx="8">
                  <c:v>2.1000000000000001E-2</c:v>
                </c:pt>
                <c:pt idx="9">
                  <c:v>2.1000000000000001E-2</c:v>
                </c:pt>
                <c:pt idx="10">
                  <c:v>1.7000000000000001E-2</c:v>
                </c:pt>
              </c:numCache>
            </c:numRef>
          </c:val>
        </c:ser>
        <c:dLbls>
          <c:showLegendKey val="0"/>
          <c:showVal val="0"/>
          <c:showCatName val="0"/>
          <c:showSerName val="0"/>
          <c:showPercent val="0"/>
          <c:showBubbleSize val="0"/>
          <c:showLeaderLines val="1"/>
        </c:dLbls>
      </c:pie3DChart>
    </c:plotArea>
    <c:plotVisOnly val="1"/>
    <c:dispBlanksAs val="gap"/>
    <c:showDLblsOverMax val="0"/>
  </c:chart>
  <c:spPr>
    <a:solidFill>
      <a:schemeClr val="bg1">
        <a:lumMod val="95000"/>
      </a:schemeClr>
    </a:solidFill>
    <a:effectLst>
      <a:outerShdw blurRad="50800" dist="38100" dir="18900000" algn="bl" rotWithShape="0">
        <a:prstClr val="black">
          <a:alpha val="40000"/>
        </a:prstClr>
      </a:outerShdw>
    </a:effectLst>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35"/>
    </mc:Choice>
    <mc:Fallback>
      <c:style val="35"/>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ALMANLARIN ORTALAMA TATİL SÜRESİ</a:t>
            </a:r>
          </a:p>
        </c:rich>
      </c:tx>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Sayfa1!$B$1</c:f>
              <c:strCache>
                <c:ptCount val="1"/>
                <c:pt idx="0">
                  <c:v>ALMANLARIN ORTALAMA TATİL SÜRESİ</c:v>
                </c:pt>
              </c:strCache>
            </c:strRef>
          </c:tx>
          <c:invertIfNegative val="0"/>
          <c:cat>
            <c:numRef>
              <c:f>Sayfa1!$A$2:$A$11</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Sayfa1!$B$2:$B$11</c:f>
              <c:numCache>
                <c:formatCode>General</c:formatCode>
                <c:ptCount val="10"/>
                <c:pt idx="0">
                  <c:v>11.1</c:v>
                </c:pt>
                <c:pt idx="1">
                  <c:v>11</c:v>
                </c:pt>
                <c:pt idx="2">
                  <c:v>10.9</c:v>
                </c:pt>
                <c:pt idx="3">
                  <c:v>10.7</c:v>
                </c:pt>
                <c:pt idx="4">
                  <c:v>10.8</c:v>
                </c:pt>
                <c:pt idx="5">
                  <c:v>10.7</c:v>
                </c:pt>
                <c:pt idx="6">
                  <c:v>10.6</c:v>
                </c:pt>
                <c:pt idx="7">
                  <c:v>10.5</c:v>
                </c:pt>
                <c:pt idx="8">
                  <c:v>10.3</c:v>
                </c:pt>
                <c:pt idx="9">
                  <c:v>10.3</c:v>
                </c:pt>
              </c:numCache>
            </c:numRef>
          </c:val>
        </c:ser>
        <c:dLbls>
          <c:showLegendKey val="0"/>
          <c:showVal val="0"/>
          <c:showCatName val="0"/>
          <c:showSerName val="0"/>
          <c:showPercent val="0"/>
          <c:showBubbleSize val="0"/>
        </c:dLbls>
        <c:gapWidth val="150"/>
        <c:shape val="box"/>
        <c:axId val="170470912"/>
        <c:axId val="202382656"/>
        <c:axId val="0"/>
      </c:bar3DChart>
      <c:catAx>
        <c:axId val="170470912"/>
        <c:scaling>
          <c:orientation val="minMax"/>
        </c:scaling>
        <c:delete val="0"/>
        <c:axPos val="l"/>
        <c:numFmt formatCode="General" sourceLinked="1"/>
        <c:majorTickMark val="out"/>
        <c:minorTickMark val="none"/>
        <c:tickLblPos val="nextTo"/>
        <c:crossAx val="202382656"/>
        <c:crosses val="autoZero"/>
        <c:auto val="1"/>
        <c:lblAlgn val="ctr"/>
        <c:lblOffset val="100"/>
        <c:noMultiLvlLbl val="0"/>
      </c:catAx>
      <c:valAx>
        <c:axId val="202382656"/>
        <c:scaling>
          <c:orientation val="minMax"/>
        </c:scaling>
        <c:delete val="0"/>
        <c:axPos val="b"/>
        <c:majorGridlines/>
        <c:numFmt formatCode="General" sourceLinked="1"/>
        <c:majorTickMark val="out"/>
        <c:minorTickMark val="none"/>
        <c:tickLblPos val="nextTo"/>
        <c:crossAx val="170470912"/>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36"/>
    </mc:Choice>
    <mc:Fallback>
      <c:style val="36"/>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SON 10 YILDA ALMANYA'DAN TÜRKİYE'YE GELEN TURİST SAYISI</a:t>
            </a:r>
          </a:p>
        </c:rich>
      </c:tx>
      <c:overlay val="0"/>
    </c:title>
    <c:autoTitleDeleted val="0"/>
    <c:view3D>
      <c:rotX val="20"/>
      <c:rotY val="40"/>
      <c:rAngAx val="1"/>
    </c:view3D>
    <c:floor>
      <c:thickness val="0"/>
    </c:floor>
    <c:sideWall>
      <c:thickness val="0"/>
    </c:sideWall>
    <c:backWall>
      <c:thickness val="0"/>
    </c:backWall>
    <c:plotArea>
      <c:layout/>
      <c:bar3DChart>
        <c:barDir val="col"/>
        <c:grouping val="clustered"/>
        <c:varyColors val="0"/>
        <c:ser>
          <c:idx val="0"/>
          <c:order val="0"/>
          <c:tx>
            <c:strRef>
              <c:f>Sayfa1!$B$1</c:f>
              <c:strCache>
                <c:ptCount val="1"/>
                <c:pt idx="0">
                  <c:v>SON 10 YILDA ALMANYA'DAN TÜRKİYE'YE GELEN TURİST SAYISI</c:v>
                </c:pt>
              </c:strCache>
            </c:strRef>
          </c:tx>
          <c:invertIfNegative val="0"/>
          <c:dLbls>
            <c:dLbl>
              <c:idx val="0"/>
              <c:layout>
                <c:manualLayout>
                  <c:x val="-2.1218890680033321E-17"/>
                  <c:y val="-1.1889994148624928E-2"/>
                </c:manualLayout>
              </c:layout>
              <c:showLegendKey val="0"/>
              <c:showVal val="1"/>
              <c:showCatName val="0"/>
              <c:showSerName val="0"/>
              <c:showPercent val="0"/>
              <c:showBubbleSize val="0"/>
            </c:dLbl>
            <c:dLbl>
              <c:idx val="1"/>
              <c:layout>
                <c:manualLayout>
                  <c:x val="1.1574074074074073E-2"/>
                  <c:y val="-3.9633313828750481E-3"/>
                </c:manualLayout>
              </c:layout>
              <c:showLegendKey val="0"/>
              <c:showVal val="1"/>
              <c:showCatName val="0"/>
              <c:showSerName val="0"/>
              <c:showPercent val="0"/>
              <c:showBubbleSize val="0"/>
            </c:dLbl>
            <c:dLbl>
              <c:idx val="2"/>
              <c:layout>
                <c:manualLayout>
                  <c:x val="1.6203703703703661E-2"/>
                  <c:y val="0"/>
                </c:manualLayout>
              </c:layout>
              <c:showLegendKey val="0"/>
              <c:showVal val="1"/>
              <c:showCatName val="0"/>
              <c:showSerName val="0"/>
              <c:showPercent val="0"/>
              <c:showBubbleSize val="0"/>
            </c:dLbl>
            <c:dLbl>
              <c:idx val="3"/>
              <c:layout>
                <c:manualLayout>
                  <c:x val="1.1574074074073988E-2"/>
                  <c:y val="0"/>
                </c:manualLayout>
              </c:layout>
              <c:showLegendKey val="0"/>
              <c:showVal val="1"/>
              <c:showCatName val="0"/>
              <c:showSerName val="0"/>
              <c:showPercent val="0"/>
              <c:showBubbleSize val="0"/>
            </c:dLbl>
            <c:dLbl>
              <c:idx val="4"/>
              <c:layout>
                <c:manualLayout>
                  <c:x val="4.6296296296296294E-3"/>
                  <c:y val="-7.9266627657499505E-3"/>
                </c:manualLayout>
              </c:layout>
              <c:showLegendKey val="0"/>
              <c:showVal val="1"/>
              <c:showCatName val="0"/>
              <c:showSerName val="0"/>
              <c:showPercent val="0"/>
              <c:showBubbleSize val="0"/>
            </c:dLbl>
            <c:dLbl>
              <c:idx val="5"/>
              <c:layout>
                <c:manualLayout>
                  <c:x val="1.3888888888888888E-2"/>
                  <c:y val="-1.9816968987712184E-2"/>
                </c:manualLayout>
              </c:layout>
              <c:showLegendKey val="0"/>
              <c:showVal val="1"/>
              <c:showCatName val="0"/>
              <c:showSerName val="0"/>
              <c:showPercent val="0"/>
              <c:showBubbleSize val="0"/>
            </c:dLbl>
            <c:dLbl>
              <c:idx val="6"/>
              <c:layout>
                <c:manualLayout>
                  <c:x val="2.0833333333333419E-2"/>
                  <c:y val="-1.189030622196216E-2"/>
                </c:manualLayout>
              </c:layout>
              <c:showLegendKey val="0"/>
              <c:showVal val="1"/>
              <c:showCatName val="0"/>
              <c:showSerName val="0"/>
              <c:showPercent val="0"/>
              <c:showBubbleSize val="0"/>
            </c:dLbl>
            <c:dLbl>
              <c:idx val="7"/>
              <c:layout>
                <c:manualLayout>
                  <c:x val="1.3888706620005832E-2"/>
                  <c:y val="-2.7743631753462065E-2"/>
                </c:manualLayout>
              </c:layout>
              <c:showLegendKey val="0"/>
              <c:showVal val="1"/>
              <c:showCatName val="0"/>
              <c:showSerName val="0"/>
              <c:showPercent val="0"/>
              <c:showBubbleSize val="0"/>
            </c:dLbl>
            <c:dLbl>
              <c:idx val="8"/>
              <c:layout>
                <c:manualLayout>
                  <c:x val="2.5462962962962962E-2"/>
                  <c:y val="-4.3596645211624735E-2"/>
                </c:manualLayout>
              </c:layout>
              <c:showLegendKey val="0"/>
              <c:showVal val="1"/>
              <c:showCatName val="0"/>
              <c:showSerName val="0"/>
              <c:showPercent val="0"/>
              <c:showBubbleSize val="0"/>
            </c:dLbl>
            <c:dLbl>
              <c:idx val="9"/>
              <c:layout>
                <c:manualLayout>
                  <c:x val="3.0092410323709535E-2"/>
                  <c:y val="-5.9449970743124636E-2"/>
                </c:manualLayout>
              </c:layout>
              <c:showLegendKey val="0"/>
              <c:showVal val="1"/>
              <c:showCatName val="0"/>
              <c:showSerName val="0"/>
              <c:showPercent val="0"/>
              <c:showBubbleSize val="0"/>
            </c:dLbl>
            <c:txPr>
              <a:bodyPr/>
              <a:lstStyle/>
              <a:p>
                <a:pPr>
                  <a:defRPr b="1"/>
                </a:pPr>
                <a:endParaRPr lang="tr-TR"/>
              </a:p>
            </c:txPr>
            <c:showLegendKey val="0"/>
            <c:showVal val="1"/>
            <c:showCatName val="0"/>
            <c:showSerName val="0"/>
            <c:showPercent val="0"/>
            <c:showBubbleSize val="0"/>
            <c:showLeaderLines val="0"/>
          </c:dLbls>
          <c:cat>
            <c:numRef>
              <c:f>Sayfa1!$A$2:$A$11</c:f>
              <c:numCache>
                <c:formatCode>General</c:formatCode>
                <c:ptCount val="10"/>
                <c:pt idx="0">
                  <c:v>2004</c:v>
                </c:pt>
                <c:pt idx="1">
                  <c:v>2005</c:v>
                </c:pt>
                <c:pt idx="2">
                  <c:v>2006</c:v>
                </c:pt>
                <c:pt idx="3">
                  <c:v>2007</c:v>
                </c:pt>
                <c:pt idx="4">
                  <c:v>2008</c:v>
                </c:pt>
                <c:pt idx="5">
                  <c:v>2009</c:v>
                </c:pt>
                <c:pt idx="6">
                  <c:v>2010</c:v>
                </c:pt>
                <c:pt idx="7">
                  <c:v>2011</c:v>
                </c:pt>
                <c:pt idx="8">
                  <c:v>2012</c:v>
                </c:pt>
                <c:pt idx="9">
                  <c:v>2013</c:v>
                </c:pt>
              </c:numCache>
            </c:numRef>
          </c:cat>
          <c:val>
            <c:numRef>
              <c:f>Sayfa1!$B$2:$B$11</c:f>
              <c:numCache>
                <c:formatCode>General</c:formatCode>
                <c:ptCount val="10"/>
                <c:pt idx="0">
                  <c:v>3983899</c:v>
                </c:pt>
                <c:pt idx="1">
                  <c:v>4243584</c:v>
                </c:pt>
                <c:pt idx="2">
                  <c:v>3762475</c:v>
                </c:pt>
                <c:pt idx="3">
                  <c:v>4149805</c:v>
                </c:pt>
                <c:pt idx="4">
                  <c:v>4415525</c:v>
                </c:pt>
                <c:pt idx="5">
                  <c:v>4488350</c:v>
                </c:pt>
                <c:pt idx="6">
                  <c:v>4385263</c:v>
                </c:pt>
                <c:pt idx="7">
                  <c:v>4826315</c:v>
                </c:pt>
                <c:pt idx="8">
                  <c:v>5028745</c:v>
                </c:pt>
                <c:pt idx="9">
                  <c:v>5041323</c:v>
                </c:pt>
              </c:numCache>
            </c:numRef>
          </c:val>
        </c:ser>
        <c:dLbls>
          <c:showLegendKey val="0"/>
          <c:showVal val="0"/>
          <c:showCatName val="0"/>
          <c:showSerName val="0"/>
          <c:showPercent val="0"/>
          <c:showBubbleSize val="0"/>
        </c:dLbls>
        <c:gapWidth val="150"/>
        <c:shape val="box"/>
        <c:axId val="76598784"/>
        <c:axId val="202466432"/>
        <c:axId val="0"/>
      </c:bar3DChart>
      <c:catAx>
        <c:axId val="76598784"/>
        <c:scaling>
          <c:orientation val="minMax"/>
        </c:scaling>
        <c:delete val="0"/>
        <c:axPos val="b"/>
        <c:numFmt formatCode="General" sourceLinked="1"/>
        <c:majorTickMark val="out"/>
        <c:minorTickMark val="none"/>
        <c:tickLblPos val="nextTo"/>
        <c:crossAx val="202466432"/>
        <c:crosses val="autoZero"/>
        <c:auto val="1"/>
        <c:lblAlgn val="ctr"/>
        <c:lblOffset val="100"/>
        <c:noMultiLvlLbl val="0"/>
      </c:catAx>
      <c:valAx>
        <c:axId val="202466432"/>
        <c:scaling>
          <c:orientation val="minMax"/>
        </c:scaling>
        <c:delete val="0"/>
        <c:axPos val="l"/>
        <c:majorGridlines/>
        <c:numFmt formatCode="General" sourceLinked="1"/>
        <c:majorTickMark val="out"/>
        <c:minorTickMark val="none"/>
        <c:tickLblPos val="nextTo"/>
        <c:crossAx val="76598784"/>
        <c:crosses val="autoZero"/>
        <c:crossBetween val="between"/>
      </c:valAx>
    </c:plotArea>
    <c:plotVisOnly val="1"/>
    <c:dispBlanksAs val="gap"/>
    <c:showDLblsOverMax val="0"/>
  </c:chart>
  <c:spPr>
    <a:solidFill>
      <a:schemeClr val="bg1">
        <a:lumMod val="95000"/>
      </a:schemeClr>
    </a:solidFill>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tr-TR"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ALMAN TATİLCİLERİN TÜRKİYE'DE TERCİH ETTİKLERİ KONAKLAMA ÇEŞİDİ</a:t>
            </a:r>
          </a:p>
        </c:rich>
      </c:tx>
      <c:overlay val="0"/>
    </c:title>
    <c:autoTitleDeleted val="0"/>
    <c:view3D>
      <c:rotX val="30"/>
      <c:rotY val="250"/>
      <c:rAngAx val="0"/>
      <c:perspective val="30"/>
    </c:view3D>
    <c:floor>
      <c:thickness val="0"/>
    </c:floor>
    <c:sideWall>
      <c:thickness val="0"/>
    </c:sideWall>
    <c:backWall>
      <c:thickness val="0"/>
    </c:backWall>
    <c:plotArea>
      <c:layout/>
      <c:pie3DChart>
        <c:varyColors val="1"/>
        <c:ser>
          <c:idx val="0"/>
          <c:order val="0"/>
          <c:tx>
            <c:strRef>
              <c:f>Sayfa1!$B$1</c:f>
              <c:strCache>
                <c:ptCount val="1"/>
                <c:pt idx="0">
                  <c:v>ALMAN TATİLCİLERİN TÜRKİYE'DE TERCİH ETTİKLERİ KONAKLAMA ÇEŞİDİ</c:v>
                </c:pt>
              </c:strCache>
            </c:strRef>
          </c:tx>
          <c:explosion val="25"/>
          <c:dLbls>
            <c:dLbl>
              <c:idx val="9"/>
              <c:layout>
                <c:manualLayout>
                  <c:x val="-4.8116797900262465E-2"/>
                  <c:y val="-5.1222157206943633E-2"/>
                </c:manualLayout>
              </c:layout>
              <c:showLegendKey val="0"/>
              <c:showVal val="0"/>
              <c:showCatName val="1"/>
              <c:showSerName val="0"/>
              <c:showPercent val="1"/>
              <c:showBubbleSize val="0"/>
            </c:dLbl>
            <c:showLegendKey val="0"/>
            <c:showVal val="0"/>
            <c:showCatName val="1"/>
            <c:showSerName val="0"/>
            <c:showPercent val="1"/>
            <c:showBubbleSize val="0"/>
            <c:showLeaderLines val="1"/>
          </c:dLbls>
          <c:cat>
            <c:strRef>
              <c:f>Sayfa1!$A$2:$A$12</c:f>
              <c:strCache>
                <c:ptCount val="11"/>
                <c:pt idx="0">
                  <c:v>Otel</c:v>
                </c:pt>
                <c:pt idx="1">
                  <c:v>Motel</c:v>
                </c:pt>
                <c:pt idx="2">
                  <c:v>Tatil Köyü</c:v>
                </c:pt>
                <c:pt idx="3">
                  <c:v>Pansiyon</c:v>
                </c:pt>
                <c:pt idx="4">
                  <c:v>Kamp / karavan</c:v>
                </c:pt>
                <c:pt idx="5">
                  <c:v>Hostel, Gençlik ve Tatil Kampı</c:v>
                </c:pt>
                <c:pt idx="6">
                  <c:v>Kendi evi</c:v>
                </c:pt>
                <c:pt idx="7">
                  <c:v>Kiralık ev</c:v>
                </c:pt>
                <c:pt idx="8">
                  <c:v>Arkadaş,Akraba evi</c:v>
                </c:pt>
                <c:pt idx="9">
                  <c:v>Ulaşım aracında( Kruvaziyer yat, tren, tır)</c:v>
                </c:pt>
                <c:pt idx="10">
                  <c:v>Diğer</c:v>
                </c:pt>
              </c:strCache>
            </c:strRef>
          </c:cat>
          <c:val>
            <c:numRef>
              <c:f>Sayfa1!$B$2:$B$12</c:f>
              <c:numCache>
                <c:formatCode>General</c:formatCode>
                <c:ptCount val="11"/>
                <c:pt idx="0">
                  <c:v>26904894</c:v>
                </c:pt>
                <c:pt idx="1">
                  <c:v>76364</c:v>
                </c:pt>
                <c:pt idx="2">
                  <c:v>112006</c:v>
                </c:pt>
                <c:pt idx="3">
                  <c:v>235399</c:v>
                </c:pt>
                <c:pt idx="4">
                  <c:v>48323</c:v>
                </c:pt>
                <c:pt idx="5">
                  <c:v>24308</c:v>
                </c:pt>
                <c:pt idx="6">
                  <c:v>10048553</c:v>
                </c:pt>
                <c:pt idx="7">
                  <c:v>603107</c:v>
                </c:pt>
                <c:pt idx="8">
                  <c:v>7197134</c:v>
                </c:pt>
                <c:pt idx="9">
                  <c:v>166305</c:v>
                </c:pt>
                <c:pt idx="10">
                  <c:v>88416</c:v>
                </c:pt>
              </c:numCache>
            </c:numRef>
          </c:val>
        </c:ser>
        <c:dLbls>
          <c:showLegendKey val="0"/>
          <c:showVal val="0"/>
          <c:showCatName val="0"/>
          <c:showSerName val="0"/>
          <c:showPercent val="0"/>
          <c:showBubbleSize val="0"/>
          <c:showLeaderLines val="1"/>
        </c:dLbls>
      </c:pie3DChart>
    </c:plotArea>
    <c:plotVisOnly val="1"/>
    <c:dispBlanksAs val="gap"/>
    <c:showDLblsOverMax val="0"/>
  </c:chart>
  <c:spPr>
    <a:solidFill>
      <a:schemeClr val="bg1">
        <a:lumMod val="95000"/>
      </a:schemeClr>
    </a:solidFill>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ONLİNE SATIŞTA ÖNE ÇIKAN</a:t>
            </a:r>
            <a:r>
              <a:rPr lang="tr-TR" b="1" cap="none" spc="0" baseline="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 </a:t>
            </a:r>
            <a:r>
              <a:rPr lang="en-US" b="1" cap="none" spc="0">
                <a:ln w="8890" cmpd="sng">
                  <a:solidFill>
                    <a:sysClr val="windowText" lastClr="000000"/>
                  </a:solidFill>
                  <a:prstDash val="solid"/>
                  <a:miter lim="800000"/>
                </a:ln>
                <a:gradFill rotWithShape="1">
                  <a:gsLst>
                    <a:gs pos="0">
                      <a:srgbClr val="000000">
                        <a:tint val="92000"/>
                        <a:shade val="100000"/>
                        <a:satMod val="150000"/>
                      </a:srgbClr>
                    </a:gs>
                    <a:gs pos="49000">
                      <a:srgbClr val="000000">
                        <a:tint val="89000"/>
                        <a:shade val="90000"/>
                        <a:satMod val="150000"/>
                      </a:srgbClr>
                    </a:gs>
                    <a:gs pos="50000">
                      <a:srgbClr val="000000">
                        <a:tint val="100000"/>
                        <a:shade val="75000"/>
                        <a:satMod val="150000"/>
                      </a:srgbClr>
                    </a:gs>
                    <a:gs pos="95000">
                      <a:srgbClr val="000000">
                        <a:shade val="47000"/>
                        <a:satMod val="150000"/>
                      </a:srgbClr>
                    </a:gs>
                    <a:gs pos="100000">
                      <a:srgbClr val="000000">
                        <a:shade val="39000"/>
                        <a:satMod val="150000"/>
                      </a:srgbClr>
                    </a:gs>
                  </a:gsLst>
                  <a:lin ang="5400000"/>
                </a:gradFill>
                <a:effectLst>
                  <a:outerShdw blurRad="50800" algn="tl" rotWithShape="0">
                    <a:srgbClr val="000000"/>
                  </a:outerShdw>
                </a:effectLst>
              </a:rPr>
              <a:t>DESTİNASYONLAR</a:t>
            </a:r>
          </a:p>
        </c:rich>
      </c:tx>
      <c:overlay val="0"/>
    </c:title>
    <c:autoTitleDeleted val="0"/>
    <c:view3D>
      <c:rotX val="15"/>
      <c:rotY val="20"/>
      <c:rAngAx val="1"/>
    </c:view3D>
    <c:floor>
      <c:thickness val="0"/>
    </c:floor>
    <c:sideWall>
      <c:thickness val="0"/>
    </c:sideWall>
    <c:backWall>
      <c:thickness val="0"/>
    </c:backWall>
    <c:plotArea>
      <c:layout/>
      <c:bar3DChart>
        <c:barDir val="bar"/>
        <c:grouping val="stacked"/>
        <c:varyColors val="0"/>
        <c:ser>
          <c:idx val="0"/>
          <c:order val="0"/>
          <c:tx>
            <c:strRef>
              <c:f>Sayfa1!$B$1</c:f>
              <c:strCache>
                <c:ptCount val="1"/>
                <c:pt idx="0">
                  <c:v>ONLİNE SATIŞTA ÖNE ÇIKAN DESTİNASYONLAR</c:v>
                </c:pt>
              </c:strCache>
            </c:strRef>
          </c:tx>
          <c:invertIfNegative val="0"/>
          <c:cat>
            <c:strRef>
              <c:f>Sayfa1!$A$2:$A$7</c:f>
              <c:strCache>
                <c:ptCount val="6"/>
                <c:pt idx="0">
                  <c:v>ANTALYA</c:v>
                </c:pt>
                <c:pt idx="1">
                  <c:v>MAYORKA</c:v>
                </c:pt>
                <c:pt idx="2">
                  <c:v>HURGHADA</c:v>
                </c:pt>
                <c:pt idx="3">
                  <c:v>FUERTEVENTURA</c:v>
                </c:pt>
                <c:pt idx="4">
                  <c:v>LAS PALMAS</c:v>
                </c:pt>
                <c:pt idx="5">
                  <c:v>TENERİFE</c:v>
                </c:pt>
              </c:strCache>
            </c:strRef>
          </c:cat>
          <c:val>
            <c:numRef>
              <c:f>Sayfa1!$B$2:$B$7</c:f>
              <c:numCache>
                <c:formatCode>0%</c:formatCode>
                <c:ptCount val="6"/>
                <c:pt idx="0">
                  <c:v>0.2</c:v>
                </c:pt>
                <c:pt idx="1">
                  <c:v>0.17</c:v>
                </c:pt>
                <c:pt idx="2">
                  <c:v>0.06</c:v>
                </c:pt>
                <c:pt idx="3">
                  <c:v>0.05</c:v>
                </c:pt>
                <c:pt idx="4">
                  <c:v>0.05</c:v>
                </c:pt>
                <c:pt idx="5">
                  <c:v>0.04</c:v>
                </c:pt>
              </c:numCache>
            </c:numRef>
          </c:val>
        </c:ser>
        <c:dLbls>
          <c:showLegendKey val="0"/>
          <c:showVal val="0"/>
          <c:showCatName val="0"/>
          <c:showSerName val="0"/>
          <c:showPercent val="0"/>
          <c:showBubbleSize val="0"/>
        </c:dLbls>
        <c:gapWidth val="150"/>
        <c:shape val="box"/>
        <c:axId val="170470400"/>
        <c:axId val="202469312"/>
        <c:axId val="0"/>
      </c:bar3DChart>
      <c:catAx>
        <c:axId val="170470400"/>
        <c:scaling>
          <c:orientation val="minMax"/>
        </c:scaling>
        <c:delete val="0"/>
        <c:axPos val="l"/>
        <c:majorTickMark val="out"/>
        <c:minorTickMark val="none"/>
        <c:tickLblPos val="nextTo"/>
        <c:txPr>
          <a:bodyPr/>
          <a:lstStyle/>
          <a:p>
            <a:pPr>
              <a:defRPr b="1"/>
            </a:pPr>
            <a:endParaRPr lang="tr-TR"/>
          </a:p>
        </c:txPr>
        <c:crossAx val="202469312"/>
        <c:crosses val="autoZero"/>
        <c:auto val="1"/>
        <c:lblAlgn val="ctr"/>
        <c:lblOffset val="100"/>
        <c:noMultiLvlLbl val="0"/>
      </c:catAx>
      <c:valAx>
        <c:axId val="202469312"/>
        <c:scaling>
          <c:orientation val="minMax"/>
        </c:scaling>
        <c:delete val="0"/>
        <c:axPos val="b"/>
        <c:majorGridlines/>
        <c:numFmt formatCode="0%" sourceLinked="1"/>
        <c:majorTickMark val="out"/>
        <c:minorTickMark val="none"/>
        <c:tickLblPos val="nextTo"/>
        <c:crossAx val="170470400"/>
        <c:crosses val="autoZero"/>
        <c:crossBetween val="between"/>
      </c:valAx>
    </c:plotArea>
    <c:plotVisOnly val="1"/>
    <c:dispBlanksAs val="gap"/>
    <c:showDLblsOverMax val="0"/>
  </c:chart>
  <c:spPr>
    <a:solidFill>
      <a:schemeClr val="bg1">
        <a:lumMod val="95000"/>
      </a:schemeClr>
    </a:solidFill>
  </c:spPr>
  <c:externalData r:id="rId1">
    <c:autoUpdate val="0"/>
  </c:externalData>
</c:chartSpace>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86D08-2AC2-411E-930E-F08412807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2048</Words>
  <Characters>11674</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fatih.gonul</dc:creator>
  <cp:lastModifiedBy>fatih.gonul</cp:lastModifiedBy>
  <cp:revision>10</cp:revision>
  <cp:lastPrinted>2014-03-14T08:26:00Z</cp:lastPrinted>
  <dcterms:created xsi:type="dcterms:W3CDTF">2014-03-13T13:53:00Z</dcterms:created>
  <dcterms:modified xsi:type="dcterms:W3CDTF">2014-03-14T08:27:00Z</dcterms:modified>
</cp:coreProperties>
</file>