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FBA" w:rsidRDefault="00607FBA" w:rsidP="00607FBA">
      <w:pPr>
        <w:shd w:val="clear" w:color="auto" w:fill="99CCFF"/>
        <w:jc w:val="center"/>
        <w:rPr>
          <w:rFonts w:ascii="Arial" w:hAnsi="Arial" w:cs="Arial"/>
          <w:b/>
        </w:rPr>
      </w:pPr>
      <w:bookmarkStart w:id="0" w:name="_GoBack"/>
      <w:bookmarkEnd w:id="0"/>
    </w:p>
    <w:p w:rsidR="00607FBA" w:rsidRDefault="00607FBA" w:rsidP="00607FBA">
      <w:pPr>
        <w:shd w:val="clear" w:color="auto" w:fill="99CCFF"/>
        <w:jc w:val="center"/>
        <w:rPr>
          <w:rFonts w:ascii="Arial" w:hAnsi="Arial" w:cs="Arial"/>
          <w:b/>
        </w:rPr>
      </w:pPr>
      <w:r>
        <w:object w:dxaOrig="7546"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73.5pt" o:ole="">
            <v:imagedata r:id="rId6" o:title=""/>
          </v:shape>
          <o:OLEObject Type="Embed" ProgID="MSPhotoEd.3" ShapeID="_x0000_i1025" DrawAspect="Content" ObjectID="_1457257234" r:id="rId7"/>
        </w:object>
      </w:r>
    </w:p>
    <w:p w:rsidR="00607FBA" w:rsidRDefault="00154374" w:rsidP="00607FBA">
      <w:pPr>
        <w:shd w:val="clear" w:color="auto" w:fill="99CCFF"/>
        <w:jc w:val="center"/>
        <w:rPr>
          <w:b/>
          <w:sz w:val="48"/>
          <w:szCs w:val="48"/>
        </w:rPr>
      </w:pPr>
      <w:r>
        <w:rPr>
          <w:b/>
          <w:sz w:val="48"/>
          <w:szCs w:val="48"/>
        </w:rPr>
        <w:t>MITT MOSKOVA</w:t>
      </w:r>
    </w:p>
    <w:p w:rsidR="00607FBA" w:rsidRDefault="00607FBA" w:rsidP="00607FBA">
      <w:pPr>
        <w:shd w:val="clear" w:color="auto" w:fill="99CCFF"/>
        <w:jc w:val="center"/>
        <w:rPr>
          <w:b/>
          <w:sz w:val="48"/>
          <w:szCs w:val="48"/>
        </w:rPr>
      </w:pPr>
      <w:r>
        <w:rPr>
          <w:b/>
          <w:sz w:val="48"/>
          <w:szCs w:val="48"/>
        </w:rPr>
        <w:t>2014</w:t>
      </w:r>
    </w:p>
    <w:p w:rsidR="00607FBA" w:rsidRDefault="00607FBA" w:rsidP="00607FBA">
      <w:pPr>
        <w:shd w:val="clear" w:color="auto" w:fill="99CCFF"/>
        <w:jc w:val="center"/>
        <w:rPr>
          <w:b/>
          <w:sz w:val="48"/>
          <w:szCs w:val="48"/>
        </w:rPr>
      </w:pPr>
      <w:r w:rsidRPr="000D3060">
        <w:rPr>
          <w:b/>
          <w:sz w:val="48"/>
          <w:szCs w:val="48"/>
        </w:rPr>
        <w:t xml:space="preserve">TURİZM </w:t>
      </w:r>
      <w:r>
        <w:rPr>
          <w:b/>
          <w:sz w:val="48"/>
          <w:szCs w:val="48"/>
        </w:rPr>
        <w:t>FUARI</w:t>
      </w:r>
    </w:p>
    <w:p w:rsidR="00607FBA" w:rsidRDefault="00607FBA" w:rsidP="00607FBA">
      <w:pPr>
        <w:shd w:val="clear" w:color="auto" w:fill="99CCFF"/>
        <w:jc w:val="center"/>
        <w:rPr>
          <w:b/>
          <w:sz w:val="48"/>
          <w:szCs w:val="48"/>
        </w:rPr>
      </w:pPr>
      <w:r>
        <w:rPr>
          <w:b/>
          <w:sz w:val="48"/>
          <w:szCs w:val="48"/>
        </w:rPr>
        <w:t xml:space="preserve">SONUÇ </w:t>
      </w:r>
      <w:r w:rsidRPr="000D3060">
        <w:rPr>
          <w:b/>
          <w:sz w:val="48"/>
          <w:szCs w:val="48"/>
        </w:rPr>
        <w:t>RAPORU</w:t>
      </w:r>
    </w:p>
    <w:p w:rsidR="00607FBA" w:rsidRDefault="00E01353" w:rsidP="00607FBA">
      <w:pPr>
        <w:shd w:val="clear" w:color="auto" w:fill="99CCFF"/>
        <w:jc w:val="center"/>
        <w:rPr>
          <w:rFonts w:ascii="Arial" w:hAnsi="Arial" w:cs="Arial"/>
          <w:b/>
          <w:noProof/>
          <w:lang w:eastAsia="tr-TR"/>
        </w:rPr>
      </w:pPr>
      <w:r>
        <w:rPr>
          <w:rFonts w:ascii="Arial" w:hAnsi="Arial" w:cs="Arial"/>
          <w:b/>
          <w:noProof/>
          <w:lang w:eastAsia="tr-TR"/>
        </w:rPr>
        <w:drawing>
          <wp:inline distT="0" distB="0" distL="0" distR="0" wp14:anchorId="65B76D63" wp14:editId="48EC5910">
            <wp:extent cx="4622173" cy="3465852"/>
            <wp:effectExtent l="0" t="0" r="6985" b="1270"/>
            <wp:docPr id="2" name="Resim 2" descr="C:\Users\fatih.gonul\Desktop\mitt moskova foto\CAM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gonul\Desktop\mitt moskova foto\CAM000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8992" cy="3470965"/>
                    </a:xfrm>
                    <a:prstGeom prst="rect">
                      <a:avLst/>
                    </a:prstGeom>
                    <a:noFill/>
                    <a:ln>
                      <a:noFill/>
                    </a:ln>
                  </pic:spPr>
                </pic:pic>
              </a:graphicData>
            </a:graphic>
          </wp:inline>
        </w:drawing>
      </w:r>
    </w:p>
    <w:p w:rsidR="00607FBA" w:rsidRDefault="00607FBA" w:rsidP="00607FBA">
      <w:pPr>
        <w:shd w:val="clear" w:color="auto" w:fill="99CCFF"/>
        <w:jc w:val="center"/>
        <w:rPr>
          <w:rFonts w:ascii="Arial" w:hAnsi="Arial" w:cs="Arial"/>
          <w:b/>
        </w:rPr>
      </w:pPr>
      <w:r w:rsidRPr="0007350A">
        <w:rPr>
          <w:rFonts w:ascii="Arial" w:hAnsi="Arial" w:cs="Arial"/>
          <w:b/>
        </w:rPr>
        <w:object w:dxaOrig="7546" w:dyaOrig="3495">
          <v:shape id="_x0000_i1026" type="#_x0000_t75" style="width:160.5pt;height:73.5pt" o:ole="">
            <v:imagedata r:id="rId6" o:title=""/>
          </v:shape>
          <o:OLEObject Type="Embed" ProgID="MSPhotoEd.3" ShapeID="_x0000_i1026" DrawAspect="Content" ObjectID="_1457257235" r:id="rId9"/>
        </w:object>
      </w:r>
    </w:p>
    <w:p w:rsidR="00607FBA" w:rsidRDefault="00607FBA" w:rsidP="00607FBA">
      <w:pPr>
        <w:shd w:val="clear" w:color="auto" w:fill="99CCFF"/>
        <w:jc w:val="center"/>
        <w:rPr>
          <w:b/>
          <w:sz w:val="40"/>
          <w:szCs w:val="40"/>
        </w:rPr>
      </w:pPr>
      <w:r w:rsidRPr="0007350A">
        <w:rPr>
          <w:b/>
          <w:sz w:val="40"/>
          <w:szCs w:val="40"/>
        </w:rPr>
        <w:t>AR-GE BİRİMİ</w:t>
      </w:r>
    </w:p>
    <w:p w:rsidR="00154374" w:rsidRDefault="00154374" w:rsidP="00607FBA">
      <w:pPr>
        <w:shd w:val="clear" w:color="auto" w:fill="99CCFF"/>
        <w:jc w:val="center"/>
      </w:pPr>
    </w:p>
    <w:p w:rsidR="00607FBA" w:rsidRPr="005C5FC9" w:rsidRDefault="00607FBA" w:rsidP="00607FBA">
      <w:pPr>
        <w:shd w:val="clear" w:color="auto" w:fill="8DB3E2" w:themeFill="text2" w:themeFillTint="66"/>
        <w:jc w:val="center"/>
        <w:rPr>
          <w:b/>
          <w:sz w:val="32"/>
          <w:szCs w:val="32"/>
        </w:rPr>
      </w:pPr>
      <w:r>
        <w:rPr>
          <w:b/>
          <w:sz w:val="32"/>
          <w:szCs w:val="32"/>
        </w:rPr>
        <w:lastRenderedPageBreak/>
        <w:t xml:space="preserve">TÜRSAB MITT MOSKOVA ULUSLARARASI </w:t>
      </w:r>
      <w:r w:rsidRPr="005C5FC9">
        <w:rPr>
          <w:b/>
          <w:sz w:val="32"/>
          <w:szCs w:val="32"/>
        </w:rPr>
        <w:t>TURİZM FUAR RAPORU</w:t>
      </w:r>
    </w:p>
    <w:p w:rsidR="00B963D7" w:rsidRDefault="00607FBA" w:rsidP="00607FBA">
      <w:pPr>
        <w:jc w:val="both"/>
        <w:rPr>
          <w:color w:val="000000" w:themeColor="text1"/>
          <w:sz w:val="24"/>
          <w:szCs w:val="24"/>
        </w:rPr>
      </w:pPr>
      <w:r w:rsidRPr="005C5FC9">
        <w:rPr>
          <w:sz w:val="24"/>
          <w:szCs w:val="24"/>
        </w:rPr>
        <w:t xml:space="preserve">Türkiye Seyahat Acentaları Birliği (TÜRSAB) bu yıl </w:t>
      </w:r>
      <w:r w:rsidR="00B963D7">
        <w:rPr>
          <w:sz w:val="24"/>
          <w:szCs w:val="24"/>
        </w:rPr>
        <w:t>19-22</w:t>
      </w:r>
      <w:r w:rsidRPr="005C5FC9">
        <w:rPr>
          <w:sz w:val="24"/>
          <w:szCs w:val="24"/>
        </w:rPr>
        <w:t xml:space="preserve"> </w:t>
      </w:r>
      <w:r>
        <w:rPr>
          <w:sz w:val="24"/>
          <w:szCs w:val="24"/>
        </w:rPr>
        <w:t xml:space="preserve">Mart </w:t>
      </w:r>
      <w:r w:rsidRPr="005C5FC9">
        <w:rPr>
          <w:sz w:val="24"/>
          <w:szCs w:val="24"/>
        </w:rPr>
        <w:t xml:space="preserve">tarihleri arasında </w:t>
      </w:r>
      <w:r w:rsidR="00B963D7">
        <w:rPr>
          <w:sz w:val="24"/>
          <w:szCs w:val="24"/>
        </w:rPr>
        <w:t>Rusya</w:t>
      </w:r>
      <w:r>
        <w:rPr>
          <w:sz w:val="24"/>
          <w:szCs w:val="24"/>
        </w:rPr>
        <w:t xml:space="preserve">’nın başkenti </w:t>
      </w:r>
      <w:r w:rsidR="00B963D7">
        <w:rPr>
          <w:sz w:val="24"/>
          <w:szCs w:val="24"/>
        </w:rPr>
        <w:t xml:space="preserve">Moskova’da 21’inci kez gerçekleştirilen MITT - Moskova </w:t>
      </w:r>
      <w:r>
        <w:rPr>
          <w:sz w:val="24"/>
          <w:szCs w:val="24"/>
        </w:rPr>
        <w:t xml:space="preserve">Uluslararası </w:t>
      </w:r>
      <w:r w:rsidR="00B963D7">
        <w:rPr>
          <w:sz w:val="24"/>
          <w:szCs w:val="24"/>
        </w:rPr>
        <w:t xml:space="preserve">Seyahat ve </w:t>
      </w:r>
      <w:r>
        <w:rPr>
          <w:sz w:val="24"/>
          <w:szCs w:val="24"/>
        </w:rPr>
        <w:t>Turizm Fuarı</w:t>
      </w:r>
      <w:r w:rsidR="00B963D7">
        <w:rPr>
          <w:sz w:val="24"/>
          <w:szCs w:val="24"/>
        </w:rPr>
        <w:t>’</w:t>
      </w:r>
      <w:r>
        <w:rPr>
          <w:sz w:val="24"/>
          <w:szCs w:val="24"/>
        </w:rPr>
        <w:t xml:space="preserve">na </w:t>
      </w:r>
      <w:r w:rsidRPr="005C5FC9">
        <w:rPr>
          <w:sz w:val="24"/>
          <w:szCs w:val="24"/>
        </w:rPr>
        <w:t xml:space="preserve">ilişkin fuar sonuç raporunu açıkladı. </w:t>
      </w:r>
      <w:r w:rsidR="00B963D7">
        <w:rPr>
          <w:sz w:val="24"/>
          <w:szCs w:val="24"/>
        </w:rPr>
        <w:t xml:space="preserve">Almanya’nın ardından </w:t>
      </w:r>
      <w:r w:rsidRPr="005C5FC9">
        <w:rPr>
          <w:sz w:val="24"/>
          <w:szCs w:val="24"/>
        </w:rPr>
        <w:t xml:space="preserve">Türkiye’ye en çok turist gönderen </w:t>
      </w:r>
      <w:r w:rsidR="00B963D7">
        <w:rPr>
          <w:sz w:val="24"/>
          <w:szCs w:val="24"/>
        </w:rPr>
        <w:t xml:space="preserve">ikinci </w:t>
      </w:r>
      <w:r w:rsidRPr="005C5FC9">
        <w:rPr>
          <w:sz w:val="24"/>
          <w:szCs w:val="24"/>
        </w:rPr>
        <w:t>ülke</w:t>
      </w:r>
      <w:r>
        <w:rPr>
          <w:sz w:val="24"/>
          <w:szCs w:val="24"/>
        </w:rPr>
        <w:t xml:space="preserve"> konumundaki </w:t>
      </w:r>
      <w:r w:rsidR="00B963D7">
        <w:rPr>
          <w:sz w:val="24"/>
          <w:szCs w:val="24"/>
        </w:rPr>
        <w:t>Rusya pazarının nabzını</w:t>
      </w:r>
      <w:r w:rsidR="00EC75E5">
        <w:rPr>
          <w:sz w:val="24"/>
          <w:szCs w:val="24"/>
        </w:rPr>
        <w:t>n</w:t>
      </w:r>
      <w:r w:rsidR="00B963D7">
        <w:rPr>
          <w:sz w:val="24"/>
          <w:szCs w:val="24"/>
        </w:rPr>
        <w:t xml:space="preserve"> tutulduğu fuara</w:t>
      </w:r>
      <w:r w:rsidR="00FA5D03">
        <w:rPr>
          <w:sz w:val="24"/>
          <w:szCs w:val="24"/>
        </w:rPr>
        <w:t>;</w:t>
      </w:r>
      <w:r w:rsidR="00B963D7">
        <w:rPr>
          <w:sz w:val="24"/>
          <w:szCs w:val="24"/>
        </w:rPr>
        <w:t xml:space="preserve"> Rusya ile Ukrayna arasında yaşanan siyasi kriz</w:t>
      </w:r>
      <w:r w:rsidR="00EC75E5">
        <w:rPr>
          <w:sz w:val="24"/>
          <w:szCs w:val="24"/>
        </w:rPr>
        <w:t>,</w:t>
      </w:r>
      <w:r w:rsidR="000B2E6C">
        <w:rPr>
          <w:sz w:val="24"/>
          <w:szCs w:val="24"/>
        </w:rPr>
        <w:t xml:space="preserve"> Kırım sorunu,</w:t>
      </w:r>
      <w:r w:rsidR="00EC75E5">
        <w:rPr>
          <w:sz w:val="24"/>
          <w:szCs w:val="24"/>
        </w:rPr>
        <w:t xml:space="preserve"> </w:t>
      </w:r>
      <w:r w:rsidR="000B2E6C">
        <w:rPr>
          <w:sz w:val="24"/>
          <w:szCs w:val="24"/>
        </w:rPr>
        <w:t xml:space="preserve">ekonomik belirsizlikler ve </w:t>
      </w:r>
      <w:r w:rsidR="00EC75E5">
        <w:rPr>
          <w:sz w:val="24"/>
          <w:szCs w:val="24"/>
        </w:rPr>
        <w:t xml:space="preserve">Ruble’deki değer kaybı </w:t>
      </w:r>
      <w:r w:rsidR="00B963D7">
        <w:rPr>
          <w:sz w:val="24"/>
          <w:szCs w:val="24"/>
        </w:rPr>
        <w:t>damga vurdu. Türk turizmciler</w:t>
      </w:r>
      <w:r w:rsidR="00EC75E5">
        <w:rPr>
          <w:sz w:val="24"/>
          <w:szCs w:val="24"/>
        </w:rPr>
        <w:t xml:space="preserve">in 2014 yılı için Rusya pazarına ilişkin beklentilerinde </w:t>
      </w:r>
      <w:r w:rsidR="00B963D7">
        <w:rPr>
          <w:sz w:val="24"/>
          <w:szCs w:val="24"/>
        </w:rPr>
        <w:t xml:space="preserve">temkinli </w:t>
      </w:r>
      <w:r w:rsidR="00EC75E5">
        <w:rPr>
          <w:sz w:val="24"/>
          <w:szCs w:val="24"/>
        </w:rPr>
        <w:t>iyimserlik öne çıktı.</w:t>
      </w:r>
    </w:p>
    <w:p w:rsidR="00154374" w:rsidRPr="005C5FC9" w:rsidRDefault="00154374" w:rsidP="00154374">
      <w:pPr>
        <w:jc w:val="both"/>
        <w:rPr>
          <w:b/>
          <w:sz w:val="24"/>
          <w:szCs w:val="24"/>
        </w:rPr>
      </w:pPr>
      <w:r>
        <w:rPr>
          <w:b/>
          <w:sz w:val="24"/>
          <w:szCs w:val="24"/>
        </w:rPr>
        <w:t>RUSYA EKONOMİSİ</w:t>
      </w:r>
    </w:p>
    <w:p w:rsidR="00154374" w:rsidRPr="005C5FC9" w:rsidRDefault="00154374" w:rsidP="00154374">
      <w:pPr>
        <w:jc w:val="both"/>
        <w:rPr>
          <w:sz w:val="24"/>
          <w:szCs w:val="24"/>
        </w:rPr>
      </w:pPr>
      <w:r>
        <w:rPr>
          <w:sz w:val="24"/>
          <w:szCs w:val="24"/>
        </w:rPr>
        <w:t>Rusya, 2</w:t>
      </w:r>
      <w:r w:rsidRPr="005C5FC9">
        <w:rPr>
          <w:sz w:val="24"/>
          <w:szCs w:val="24"/>
        </w:rPr>
        <w:t xml:space="preserve"> trilyon </w:t>
      </w:r>
      <w:r>
        <w:rPr>
          <w:sz w:val="24"/>
          <w:szCs w:val="24"/>
        </w:rPr>
        <w:t xml:space="preserve">Dolar’ı aşan </w:t>
      </w:r>
      <w:r w:rsidRPr="005C5FC9">
        <w:rPr>
          <w:sz w:val="24"/>
          <w:szCs w:val="24"/>
        </w:rPr>
        <w:t>gayrisafi yurtiçi hasılası ile</w:t>
      </w:r>
      <w:r>
        <w:rPr>
          <w:sz w:val="24"/>
          <w:szCs w:val="24"/>
        </w:rPr>
        <w:t xml:space="preserve"> </w:t>
      </w:r>
      <w:r w:rsidRPr="005C5FC9">
        <w:rPr>
          <w:sz w:val="24"/>
          <w:szCs w:val="24"/>
        </w:rPr>
        <w:t xml:space="preserve">dünyanın </w:t>
      </w:r>
      <w:r>
        <w:rPr>
          <w:sz w:val="24"/>
          <w:szCs w:val="24"/>
        </w:rPr>
        <w:t xml:space="preserve">en büyük sekizinci ekonomisi </w:t>
      </w:r>
      <w:r w:rsidRPr="005C5FC9">
        <w:rPr>
          <w:sz w:val="24"/>
          <w:szCs w:val="24"/>
        </w:rPr>
        <w:t xml:space="preserve">durumunda bulunuyor. Uluslararası Para Fonu (IMF) verilerine göre </w:t>
      </w:r>
      <w:r>
        <w:rPr>
          <w:sz w:val="24"/>
          <w:szCs w:val="24"/>
        </w:rPr>
        <w:t xml:space="preserve">Rusya </w:t>
      </w:r>
      <w:r w:rsidRPr="005C5FC9">
        <w:rPr>
          <w:sz w:val="24"/>
          <w:szCs w:val="24"/>
        </w:rPr>
        <w:t xml:space="preserve">ekonomisi, 2012 yılında </w:t>
      </w:r>
      <w:r>
        <w:rPr>
          <w:sz w:val="24"/>
          <w:szCs w:val="24"/>
        </w:rPr>
        <w:t>2</w:t>
      </w:r>
      <w:r w:rsidRPr="005C5FC9">
        <w:rPr>
          <w:sz w:val="24"/>
          <w:szCs w:val="24"/>
        </w:rPr>
        <w:t xml:space="preserve"> trilyon </w:t>
      </w:r>
      <w:r>
        <w:rPr>
          <w:sz w:val="24"/>
          <w:szCs w:val="24"/>
        </w:rPr>
        <w:t>29</w:t>
      </w:r>
      <w:r w:rsidRPr="005C5FC9">
        <w:rPr>
          <w:sz w:val="24"/>
          <w:szCs w:val="24"/>
        </w:rPr>
        <w:t xml:space="preserve"> </w:t>
      </w:r>
      <w:r>
        <w:rPr>
          <w:sz w:val="24"/>
          <w:szCs w:val="24"/>
        </w:rPr>
        <w:t>m</w:t>
      </w:r>
      <w:r w:rsidRPr="005C5FC9">
        <w:rPr>
          <w:sz w:val="24"/>
          <w:szCs w:val="24"/>
        </w:rPr>
        <w:t xml:space="preserve">ilyar dolarlık bir büyüklük oluşturdu. Yine IMF verilerine göre </w:t>
      </w:r>
      <w:r>
        <w:rPr>
          <w:sz w:val="24"/>
          <w:szCs w:val="24"/>
        </w:rPr>
        <w:t xml:space="preserve">Rusya’da </w:t>
      </w:r>
      <w:r w:rsidRPr="005C5FC9">
        <w:rPr>
          <w:sz w:val="24"/>
          <w:szCs w:val="24"/>
        </w:rPr>
        <w:t xml:space="preserve">kişi başına düşen milli gelir ise </w:t>
      </w:r>
      <w:r>
        <w:rPr>
          <w:sz w:val="24"/>
          <w:szCs w:val="24"/>
        </w:rPr>
        <w:t>14</w:t>
      </w:r>
      <w:r w:rsidRPr="005C5FC9">
        <w:rPr>
          <w:sz w:val="24"/>
          <w:szCs w:val="24"/>
        </w:rPr>
        <w:t xml:space="preserve"> bin </w:t>
      </w:r>
      <w:r>
        <w:rPr>
          <w:sz w:val="24"/>
          <w:szCs w:val="24"/>
        </w:rPr>
        <w:t>302</w:t>
      </w:r>
      <w:r w:rsidRPr="005C5FC9">
        <w:rPr>
          <w:sz w:val="24"/>
          <w:szCs w:val="24"/>
        </w:rPr>
        <w:t xml:space="preserve"> dolar düzeyinde gerçekleşti. </w:t>
      </w:r>
      <w:r>
        <w:rPr>
          <w:sz w:val="24"/>
          <w:szCs w:val="24"/>
        </w:rPr>
        <w:t>Rusya Federal İstati</w:t>
      </w:r>
      <w:r w:rsidR="00770AD1">
        <w:rPr>
          <w:sz w:val="24"/>
          <w:szCs w:val="24"/>
        </w:rPr>
        <w:t>s</w:t>
      </w:r>
      <w:r>
        <w:rPr>
          <w:sz w:val="24"/>
          <w:szCs w:val="24"/>
        </w:rPr>
        <w:t xml:space="preserve">tik Kurumu (Rosstat) tarafından açıklanan </w:t>
      </w:r>
      <w:r w:rsidRPr="005C5FC9">
        <w:rPr>
          <w:sz w:val="24"/>
          <w:szCs w:val="24"/>
        </w:rPr>
        <w:t xml:space="preserve">2013 yılı </w:t>
      </w:r>
      <w:r>
        <w:rPr>
          <w:sz w:val="24"/>
          <w:szCs w:val="24"/>
        </w:rPr>
        <w:t xml:space="preserve">işsizlik verilerine göre ise </w:t>
      </w:r>
      <w:r w:rsidRPr="005C5FC9">
        <w:rPr>
          <w:sz w:val="24"/>
          <w:szCs w:val="24"/>
        </w:rPr>
        <w:t>ülkedeki işsizlik oranı</w:t>
      </w:r>
      <w:r>
        <w:rPr>
          <w:sz w:val="24"/>
          <w:szCs w:val="24"/>
        </w:rPr>
        <w:t xml:space="preserve"> </w:t>
      </w:r>
      <w:r w:rsidR="00FA5D03">
        <w:rPr>
          <w:sz w:val="24"/>
          <w:szCs w:val="24"/>
        </w:rPr>
        <w:t xml:space="preserve">ise </w:t>
      </w:r>
      <w:r w:rsidRPr="005C5FC9">
        <w:rPr>
          <w:sz w:val="24"/>
          <w:szCs w:val="24"/>
        </w:rPr>
        <w:t xml:space="preserve">yüzde </w:t>
      </w:r>
      <w:r>
        <w:rPr>
          <w:sz w:val="24"/>
          <w:szCs w:val="24"/>
        </w:rPr>
        <w:t>5,5 düzeyinde gerçekleşti.</w:t>
      </w:r>
    </w:p>
    <w:tbl>
      <w:tblPr>
        <w:tblStyle w:val="TabloKlavuzu"/>
        <w:tblW w:w="0" w:type="auto"/>
        <w:tblLook w:val="04A0" w:firstRow="1" w:lastRow="0" w:firstColumn="1" w:lastColumn="0" w:noHBand="0" w:noVBand="1"/>
      </w:tblPr>
      <w:tblGrid>
        <w:gridCol w:w="2802"/>
        <w:gridCol w:w="3543"/>
        <w:gridCol w:w="2918"/>
      </w:tblGrid>
      <w:tr w:rsidR="00154374" w:rsidTr="00562BB5">
        <w:trPr>
          <w:trHeight w:val="379"/>
        </w:trPr>
        <w:tc>
          <w:tcPr>
            <w:tcW w:w="9263" w:type="dxa"/>
            <w:gridSpan w:val="3"/>
            <w:shd w:val="clear" w:color="auto" w:fill="D9D9D9" w:themeFill="background1" w:themeFillShade="D9"/>
          </w:tcPr>
          <w:p w:rsidR="00154374" w:rsidRPr="005C5FC9" w:rsidRDefault="00154374" w:rsidP="00562BB5">
            <w:pPr>
              <w:jc w:val="center"/>
              <w:rPr>
                <w:b/>
                <w:sz w:val="24"/>
                <w:szCs w:val="24"/>
              </w:rPr>
            </w:pPr>
            <w:r>
              <w:rPr>
                <w:b/>
                <w:sz w:val="24"/>
                <w:szCs w:val="24"/>
              </w:rPr>
              <w:t xml:space="preserve">RUSYA </w:t>
            </w:r>
            <w:r w:rsidRPr="005C5FC9">
              <w:rPr>
                <w:b/>
                <w:sz w:val="24"/>
                <w:szCs w:val="24"/>
              </w:rPr>
              <w:t>EKONOMİK VERİLER</w:t>
            </w:r>
          </w:p>
        </w:tc>
      </w:tr>
      <w:tr w:rsidR="00154374" w:rsidTr="00562BB5">
        <w:trPr>
          <w:trHeight w:val="405"/>
        </w:trPr>
        <w:tc>
          <w:tcPr>
            <w:tcW w:w="2802" w:type="dxa"/>
            <w:shd w:val="clear" w:color="auto" w:fill="C2D69B" w:themeFill="accent3" w:themeFillTint="99"/>
          </w:tcPr>
          <w:p w:rsidR="00154374" w:rsidRPr="001346CF" w:rsidRDefault="00154374" w:rsidP="00562BB5">
            <w:pPr>
              <w:jc w:val="center"/>
              <w:rPr>
                <w:b/>
                <w:sz w:val="24"/>
                <w:szCs w:val="24"/>
              </w:rPr>
            </w:pPr>
            <w:r w:rsidRPr="001346CF">
              <w:rPr>
                <w:b/>
                <w:sz w:val="24"/>
                <w:szCs w:val="24"/>
              </w:rPr>
              <w:t>GSMH (2012)</w:t>
            </w:r>
          </w:p>
        </w:tc>
        <w:tc>
          <w:tcPr>
            <w:tcW w:w="3543" w:type="dxa"/>
            <w:shd w:val="clear" w:color="auto" w:fill="C2D69B" w:themeFill="accent3" w:themeFillTint="99"/>
          </w:tcPr>
          <w:p w:rsidR="00154374" w:rsidRPr="001346CF" w:rsidRDefault="00154374" w:rsidP="00562BB5">
            <w:pPr>
              <w:jc w:val="center"/>
              <w:rPr>
                <w:b/>
                <w:sz w:val="24"/>
                <w:szCs w:val="24"/>
              </w:rPr>
            </w:pPr>
            <w:r w:rsidRPr="001346CF">
              <w:rPr>
                <w:b/>
                <w:sz w:val="24"/>
                <w:szCs w:val="24"/>
              </w:rPr>
              <w:t>KİŞİBAŞINA DÜŞEN GELİR (2012)</w:t>
            </w:r>
          </w:p>
        </w:tc>
        <w:tc>
          <w:tcPr>
            <w:tcW w:w="2918" w:type="dxa"/>
            <w:shd w:val="clear" w:color="auto" w:fill="C2D69B" w:themeFill="accent3" w:themeFillTint="99"/>
          </w:tcPr>
          <w:p w:rsidR="00154374" w:rsidRPr="001346CF" w:rsidRDefault="00154374" w:rsidP="00562BB5">
            <w:pPr>
              <w:jc w:val="center"/>
              <w:rPr>
                <w:b/>
                <w:sz w:val="24"/>
                <w:szCs w:val="24"/>
              </w:rPr>
            </w:pPr>
            <w:r w:rsidRPr="001346CF">
              <w:rPr>
                <w:b/>
                <w:sz w:val="24"/>
                <w:szCs w:val="24"/>
              </w:rPr>
              <w:t>İŞSİZLİK ORANI (2013)</w:t>
            </w:r>
          </w:p>
        </w:tc>
      </w:tr>
      <w:tr w:rsidR="00154374" w:rsidTr="00562BB5">
        <w:trPr>
          <w:trHeight w:val="405"/>
        </w:trPr>
        <w:tc>
          <w:tcPr>
            <w:tcW w:w="2802" w:type="dxa"/>
            <w:shd w:val="clear" w:color="auto" w:fill="95B3D7" w:themeFill="accent1" w:themeFillTint="99"/>
          </w:tcPr>
          <w:p w:rsidR="00154374" w:rsidRPr="001346CF" w:rsidRDefault="00154374" w:rsidP="00562BB5">
            <w:pPr>
              <w:jc w:val="center"/>
              <w:rPr>
                <w:sz w:val="24"/>
                <w:szCs w:val="24"/>
              </w:rPr>
            </w:pPr>
            <w:r>
              <w:rPr>
                <w:sz w:val="24"/>
                <w:szCs w:val="24"/>
              </w:rPr>
              <w:t xml:space="preserve">2 </w:t>
            </w:r>
            <w:r w:rsidRPr="00C04DDD">
              <w:rPr>
                <w:sz w:val="24"/>
                <w:szCs w:val="24"/>
              </w:rPr>
              <w:t>029</w:t>
            </w:r>
            <w:r>
              <w:rPr>
                <w:sz w:val="24"/>
                <w:szCs w:val="24"/>
              </w:rPr>
              <w:t xml:space="preserve"> </w:t>
            </w:r>
            <w:r w:rsidRPr="00C04DDD">
              <w:rPr>
                <w:sz w:val="24"/>
                <w:szCs w:val="24"/>
              </w:rPr>
              <w:t xml:space="preserve">813 </w:t>
            </w:r>
            <w:r w:rsidRPr="001346CF">
              <w:rPr>
                <w:sz w:val="24"/>
                <w:szCs w:val="24"/>
              </w:rPr>
              <w:t>000 000</w:t>
            </w:r>
          </w:p>
        </w:tc>
        <w:tc>
          <w:tcPr>
            <w:tcW w:w="3543" w:type="dxa"/>
            <w:shd w:val="clear" w:color="auto" w:fill="95B3D7" w:themeFill="accent1" w:themeFillTint="99"/>
          </w:tcPr>
          <w:p w:rsidR="00154374" w:rsidRPr="001346CF" w:rsidRDefault="00154374" w:rsidP="00562BB5">
            <w:pPr>
              <w:jc w:val="center"/>
              <w:rPr>
                <w:sz w:val="24"/>
                <w:szCs w:val="24"/>
              </w:rPr>
            </w:pPr>
            <w:r>
              <w:rPr>
                <w:sz w:val="24"/>
                <w:szCs w:val="24"/>
              </w:rPr>
              <w:t>14</w:t>
            </w:r>
            <w:r w:rsidRPr="001346CF">
              <w:rPr>
                <w:sz w:val="24"/>
                <w:szCs w:val="24"/>
              </w:rPr>
              <w:t xml:space="preserve"> </w:t>
            </w:r>
            <w:r>
              <w:rPr>
                <w:sz w:val="24"/>
                <w:szCs w:val="24"/>
              </w:rPr>
              <w:t>302 $</w:t>
            </w:r>
          </w:p>
        </w:tc>
        <w:tc>
          <w:tcPr>
            <w:tcW w:w="2918" w:type="dxa"/>
            <w:shd w:val="clear" w:color="auto" w:fill="95B3D7" w:themeFill="accent1" w:themeFillTint="99"/>
          </w:tcPr>
          <w:p w:rsidR="00154374" w:rsidRPr="001346CF" w:rsidRDefault="00154374" w:rsidP="00562BB5">
            <w:pPr>
              <w:jc w:val="center"/>
              <w:rPr>
                <w:sz w:val="24"/>
                <w:szCs w:val="24"/>
              </w:rPr>
            </w:pPr>
            <w:r w:rsidRPr="001346CF">
              <w:rPr>
                <w:sz w:val="24"/>
                <w:szCs w:val="24"/>
              </w:rPr>
              <w:t>%</w:t>
            </w:r>
            <w:r>
              <w:rPr>
                <w:sz w:val="24"/>
                <w:szCs w:val="24"/>
              </w:rPr>
              <w:t xml:space="preserve"> 5,5</w:t>
            </w:r>
          </w:p>
        </w:tc>
      </w:tr>
    </w:tbl>
    <w:p w:rsidR="00154374" w:rsidRPr="005C5FC9" w:rsidRDefault="00154374" w:rsidP="00154374">
      <w:pPr>
        <w:jc w:val="both"/>
        <w:rPr>
          <w:b/>
          <w:sz w:val="20"/>
          <w:szCs w:val="20"/>
        </w:rPr>
      </w:pPr>
      <w:r>
        <w:rPr>
          <w:sz w:val="20"/>
          <w:szCs w:val="20"/>
        </w:rPr>
        <w:t>Kaynak: IMF ve Rosstat</w:t>
      </w:r>
    </w:p>
    <w:p w:rsidR="00E3117E" w:rsidRDefault="00770AD1" w:rsidP="00154374">
      <w:pPr>
        <w:jc w:val="both"/>
        <w:rPr>
          <w:b/>
          <w:color w:val="000000" w:themeColor="text1"/>
          <w:sz w:val="24"/>
          <w:szCs w:val="24"/>
        </w:rPr>
      </w:pPr>
      <w:r>
        <w:rPr>
          <w:b/>
          <w:color w:val="000000" w:themeColor="text1"/>
          <w:sz w:val="24"/>
          <w:szCs w:val="24"/>
        </w:rPr>
        <w:t xml:space="preserve">BÜYÜME </w:t>
      </w:r>
      <w:r w:rsidR="008D7255">
        <w:rPr>
          <w:b/>
          <w:color w:val="000000" w:themeColor="text1"/>
          <w:sz w:val="24"/>
          <w:szCs w:val="24"/>
        </w:rPr>
        <w:t>VERİLERİ</w:t>
      </w:r>
    </w:p>
    <w:p w:rsidR="00770AD1" w:rsidRDefault="00E3117E" w:rsidP="00E3117E">
      <w:pPr>
        <w:jc w:val="both"/>
        <w:rPr>
          <w:sz w:val="24"/>
          <w:szCs w:val="24"/>
        </w:rPr>
      </w:pPr>
      <w:r>
        <w:rPr>
          <w:sz w:val="24"/>
          <w:szCs w:val="24"/>
        </w:rPr>
        <w:t>Küresel ekonomik krizden ciddi biçimde etkilenen ülkeler arasındaki Rusya’da ekonomi</w:t>
      </w:r>
      <w:r w:rsidR="00F83A99">
        <w:rPr>
          <w:sz w:val="24"/>
          <w:szCs w:val="24"/>
        </w:rPr>
        <w:t>,</w:t>
      </w:r>
      <w:r>
        <w:rPr>
          <w:sz w:val="24"/>
          <w:szCs w:val="24"/>
        </w:rPr>
        <w:t xml:space="preserve"> kriz sonrasında hızlı bir toparlanma sürecine girdi. </w:t>
      </w:r>
      <w:r w:rsidR="00770AD1">
        <w:rPr>
          <w:sz w:val="24"/>
          <w:szCs w:val="24"/>
        </w:rPr>
        <w:t>Krizin etkili olduğu 2009 yılında yüzde 7,8 oranında küçülen Rusya ekonomisi</w:t>
      </w:r>
      <w:r w:rsidR="00FA5D03">
        <w:rPr>
          <w:sz w:val="24"/>
          <w:szCs w:val="24"/>
        </w:rPr>
        <w:t>,</w:t>
      </w:r>
      <w:r w:rsidR="00770AD1">
        <w:rPr>
          <w:sz w:val="24"/>
          <w:szCs w:val="24"/>
        </w:rPr>
        <w:t xml:space="preserve"> 2010 yılında yüzde 4 büyüme kaydetti. Rusya Federal İstatistik Kurumu (Rosstat) tarafından açıklanan verilere göre; </w:t>
      </w:r>
      <w:r>
        <w:rPr>
          <w:sz w:val="24"/>
          <w:szCs w:val="24"/>
        </w:rPr>
        <w:t>2011 yılında</w:t>
      </w:r>
      <w:r w:rsidR="00770AD1">
        <w:rPr>
          <w:sz w:val="24"/>
          <w:szCs w:val="24"/>
        </w:rPr>
        <w:t xml:space="preserve"> </w:t>
      </w:r>
      <w:r>
        <w:rPr>
          <w:sz w:val="24"/>
          <w:szCs w:val="24"/>
        </w:rPr>
        <w:t>yüzde 4,3</w:t>
      </w:r>
      <w:r w:rsidR="00FA5D03">
        <w:rPr>
          <w:sz w:val="24"/>
          <w:szCs w:val="24"/>
        </w:rPr>
        <w:t xml:space="preserve"> büyüyen </w:t>
      </w:r>
      <w:r w:rsidR="00770AD1">
        <w:rPr>
          <w:sz w:val="24"/>
          <w:szCs w:val="24"/>
        </w:rPr>
        <w:t>R</w:t>
      </w:r>
      <w:r>
        <w:rPr>
          <w:sz w:val="24"/>
          <w:szCs w:val="24"/>
        </w:rPr>
        <w:t>usya</w:t>
      </w:r>
      <w:r w:rsidR="00770AD1">
        <w:rPr>
          <w:sz w:val="24"/>
          <w:szCs w:val="24"/>
        </w:rPr>
        <w:t>’</w:t>
      </w:r>
      <w:r w:rsidR="00FA5D03">
        <w:rPr>
          <w:sz w:val="24"/>
          <w:szCs w:val="24"/>
        </w:rPr>
        <w:t>nın</w:t>
      </w:r>
      <w:r w:rsidR="00770AD1">
        <w:rPr>
          <w:sz w:val="24"/>
          <w:szCs w:val="24"/>
        </w:rPr>
        <w:t xml:space="preserve"> 2012 yılı</w:t>
      </w:r>
      <w:r w:rsidR="00FA5D03">
        <w:rPr>
          <w:sz w:val="24"/>
          <w:szCs w:val="24"/>
        </w:rPr>
        <w:t xml:space="preserve"> büyümesi </w:t>
      </w:r>
      <w:r w:rsidR="00770AD1">
        <w:rPr>
          <w:sz w:val="24"/>
          <w:szCs w:val="24"/>
        </w:rPr>
        <w:t>yüzde 3,4, 2013 yılı</w:t>
      </w:r>
      <w:r w:rsidR="00FA5D03">
        <w:rPr>
          <w:sz w:val="24"/>
          <w:szCs w:val="24"/>
        </w:rPr>
        <w:t xml:space="preserve">nda </w:t>
      </w:r>
      <w:r w:rsidR="00770AD1">
        <w:rPr>
          <w:sz w:val="24"/>
          <w:szCs w:val="24"/>
        </w:rPr>
        <w:t>ise yüzde 1,5 düzeyinde gerçekleşti.</w:t>
      </w:r>
    </w:p>
    <w:tbl>
      <w:tblPr>
        <w:tblStyle w:val="TabloKlavuzu"/>
        <w:tblW w:w="9294" w:type="dxa"/>
        <w:tblLook w:val="04A0" w:firstRow="1" w:lastRow="0" w:firstColumn="1" w:lastColumn="0" w:noHBand="0" w:noVBand="1"/>
      </w:tblPr>
      <w:tblGrid>
        <w:gridCol w:w="2323"/>
        <w:gridCol w:w="2323"/>
        <w:gridCol w:w="2324"/>
        <w:gridCol w:w="2324"/>
      </w:tblGrid>
      <w:tr w:rsidR="00E3117E" w:rsidTr="00770AD1">
        <w:trPr>
          <w:trHeight w:val="375"/>
        </w:trPr>
        <w:tc>
          <w:tcPr>
            <w:tcW w:w="9294" w:type="dxa"/>
            <w:gridSpan w:val="4"/>
            <w:shd w:val="clear" w:color="auto" w:fill="D9D9D9" w:themeFill="background1" w:themeFillShade="D9"/>
          </w:tcPr>
          <w:p w:rsidR="00E3117E" w:rsidRPr="005C5FC9" w:rsidRDefault="00EA1586" w:rsidP="00590FE6">
            <w:pPr>
              <w:jc w:val="center"/>
              <w:rPr>
                <w:b/>
                <w:sz w:val="24"/>
                <w:szCs w:val="24"/>
              </w:rPr>
            </w:pPr>
            <w:r>
              <w:rPr>
                <w:b/>
                <w:sz w:val="24"/>
                <w:szCs w:val="24"/>
              </w:rPr>
              <w:t>RUSYA</w:t>
            </w:r>
            <w:r w:rsidR="00E3117E">
              <w:rPr>
                <w:b/>
                <w:sz w:val="24"/>
                <w:szCs w:val="24"/>
              </w:rPr>
              <w:t xml:space="preserve"> </w:t>
            </w:r>
            <w:r w:rsidR="00E3117E" w:rsidRPr="005C5FC9">
              <w:rPr>
                <w:b/>
                <w:sz w:val="24"/>
                <w:szCs w:val="24"/>
              </w:rPr>
              <w:t>BÜYÜME RAKAMLARI</w:t>
            </w:r>
          </w:p>
        </w:tc>
      </w:tr>
      <w:tr w:rsidR="00E3117E" w:rsidRPr="004938EF" w:rsidTr="00590FE6">
        <w:trPr>
          <w:trHeight w:val="351"/>
        </w:trPr>
        <w:tc>
          <w:tcPr>
            <w:tcW w:w="2323" w:type="dxa"/>
            <w:shd w:val="clear" w:color="auto" w:fill="C2D69B" w:themeFill="accent3" w:themeFillTint="99"/>
          </w:tcPr>
          <w:p w:rsidR="00E3117E" w:rsidRPr="004938EF" w:rsidRDefault="00E3117E" w:rsidP="00590FE6">
            <w:pPr>
              <w:jc w:val="center"/>
              <w:rPr>
                <w:b/>
              </w:rPr>
            </w:pPr>
            <w:r>
              <w:rPr>
                <w:b/>
              </w:rPr>
              <w:t>2011</w:t>
            </w:r>
          </w:p>
        </w:tc>
        <w:tc>
          <w:tcPr>
            <w:tcW w:w="2323" w:type="dxa"/>
            <w:shd w:val="clear" w:color="auto" w:fill="C2D69B" w:themeFill="accent3" w:themeFillTint="99"/>
          </w:tcPr>
          <w:p w:rsidR="00E3117E" w:rsidRPr="004938EF" w:rsidRDefault="00E3117E" w:rsidP="00590FE6">
            <w:pPr>
              <w:jc w:val="center"/>
              <w:rPr>
                <w:b/>
              </w:rPr>
            </w:pPr>
            <w:r>
              <w:rPr>
                <w:b/>
              </w:rPr>
              <w:t>2012</w:t>
            </w:r>
          </w:p>
        </w:tc>
        <w:tc>
          <w:tcPr>
            <w:tcW w:w="2324" w:type="dxa"/>
            <w:shd w:val="clear" w:color="auto" w:fill="C2D69B" w:themeFill="accent3" w:themeFillTint="99"/>
          </w:tcPr>
          <w:p w:rsidR="00E3117E" w:rsidRPr="004938EF" w:rsidRDefault="00E3117E" w:rsidP="000B2E6C">
            <w:pPr>
              <w:jc w:val="center"/>
              <w:rPr>
                <w:b/>
              </w:rPr>
            </w:pPr>
            <w:r w:rsidRPr="004938EF">
              <w:rPr>
                <w:b/>
              </w:rPr>
              <w:t>201</w:t>
            </w:r>
            <w:r>
              <w:rPr>
                <w:b/>
              </w:rPr>
              <w:t>3</w:t>
            </w:r>
          </w:p>
        </w:tc>
        <w:tc>
          <w:tcPr>
            <w:tcW w:w="2324" w:type="dxa"/>
            <w:shd w:val="clear" w:color="auto" w:fill="C2D69B" w:themeFill="accent3" w:themeFillTint="99"/>
          </w:tcPr>
          <w:p w:rsidR="00E3117E" w:rsidRPr="004938EF" w:rsidRDefault="008D7255" w:rsidP="008D7255">
            <w:pPr>
              <w:jc w:val="center"/>
              <w:rPr>
                <w:b/>
              </w:rPr>
            </w:pPr>
            <w:r>
              <w:rPr>
                <w:b/>
              </w:rPr>
              <w:t>2014</w:t>
            </w:r>
            <w:r w:rsidR="00E3117E" w:rsidRPr="004938EF">
              <w:rPr>
                <w:b/>
              </w:rPr>
              <w:t xml:space="preserve"> (Beklenti</w:t>
            </w:r>
            <w:r>
              <w:rPr>
                <w:b/>
              </w:rPr>
              <w:t xml:space="preserve"> S&amp;P)</w:t>
            </w:r>
          </w:p>
        </w:tc>
      </w:tr>
      <w:tr w:rsidR="00E3117E" w:rsidTr="00590FE6">
        <w:trPr>
          <w:trHeight w:val="399"/>
        </w:trPr>
        <w:tc>
          <w:tcPr>
            <w:tcW w:w="2323" w:type="dxa"/>
            <w:shd w:val="clear" w:color="auto" w:fill="8DB3E2" w:themeFill="text2" w:themeFillTint="66"/>
          </w:tcPr>
          <w:p w:rsidR="00E3117E" w:rsidRDefault="00E3117E" w:rsidP="00590FE6">
            <w:pPr>
              <w:jc w:val="center"/>
            </w:pPr>
            <w:r>
              <w:t>% 4,3</w:t>
            </w:r>
          </w:p>
        </w:tc>
        <w:tc>
          <w:tcPr>
            <w:tcW w:w="2323" w:type="dxa"/>
            <w:shd w:val="clear" w:color="auto" w:fill="8DB3E2" w:themeFill="text2" w:themeFillTint="66"/>
          </w:tcPr>
          <w:p w:rsidR="00E3117E" w:rsidRDefault="00E3117E" w:rsidP="00590FE6">
            <w:pPr>
              <w:jc w:val="center"/>
            </w:pPr>
            <w:r>
              <w:t>% 3,4</w:t>
            </w:r>
          </w:p>
        </w:tc>
        <w:tc>
          <w:tcPr>
            <w:tcW w:w="2324" w:type="dxa"/>
            <w:shd w:val="clear" w:color="auto" w:fill="8DB3E2" w:themeFill="text2" w:themeFillTint="66"/>
          </w:tcPr>
          <w:p w:rsidR="00E3117E" w:rsidRDefault="00E3117E" w:rsidP="00E3117E">
            <w:pPr>
              <w:jc w:val="center"/>
            </w:pPr>
            <w:r>
              <w:t>% 1,5</w:t>
            </w:r>
          </w:p>
        </w:tc>
        <w:tc>
          <w:tcPr>
            <w:tcW w:w="2324" w:type="dxa"/>
            <w:shd w:val="clear" w:color="auto" w:fill="8DB3E2" w:themeFill="text2" w:themeFillTint="66"/>
          </w:tcPr>
          <w:p w:rsidR="00E3117E" w:rsidRDefault="00E3117E" w:rsidP="00E3117E">
            <w:pPr>
              <w:jc w:val="center"/>
            </w:pPr>
            <w:r>
              <w:t>% 1,2</w:t>
            </w:r>
          </w:p>
        </w:tc>
      </w:tr>
    </w:tbl>
    <w:p w:rsidR="00E3117E" w:rsidRPr="005C5FC9" w:rsidRDefault="00770AD1" w:rsidP="00E3117E">
      <w:pPr>
        <w:jc w:val="both"/>
        <w:rPr>
          <w:sz w:val="20"/>
          <w:szCs w:val="20"/>
        </w:rPr>
      </w:pPr>
      <w:r>
        <w:rPr>
          <w:sz w:val="20"/>
          <w:szCs w:val="20"/>
        </w:rPr>
        <w:t>Kaynak: Rosstat</w:t>
      </w:r>
    </w:p>
    <w:p w:rsidR="00CE2D6A" w:rsidRPr="00CE2D6A" w:rsidRDefault="00CE2D6A" w:rsidP="00154374">
      <w:pPr>
        <w:jc w:val="both"/>
        <w:rPr>
          <w:b/>
          <w:color w:val="000000" w:themeColor="text1"/>
          <w:sz w:val="24"/>
          <w:szCs w:val="24"/>
        </w:rPr>
      </w:pPr>
      <w:r w:rsidRPr="00CE2D6A">
        <w:rPr>
          <w:b/>
          <w:color w:val="000000" w:themeColor="text1"/>
          <w:sz w:val="24"/>
          <w:szCs w:val="24"/>
        </w:rPr>
        <w:t>RUSYA EKONOMİSİ İÇİN TEHLİKE SİNYALLERİ</w:t>
      </w:r>
    </w:p>
    <w:p w:rsidR="00F83A99" w:rsidRDefault="00AA2504" w:rsidP="00154374">
      <w:pPr>
        <w:jc w:val="both"/>
        <w:rPr>
          <w:color w:val="000000" w:themeColor="text1"/>
          <w:sz w:val="24"/>
          <w:szCs w:val="24"/>
        </w:rPr>
      </w:pPr>
      <w:r>
        <w:rPr>
          <w:color w:val="000000" w:themeColor="text1"/>
          <w:sz w:val="24"/>
          <w:szCs w:val="24"/>
        </w:rPr>
        <w:t>Amerikan Merkez Bankası’nın (FED)</w:t>
      </w:r>
      <w:r w:rsidR="00CE2D6A">
        <w:rPr>
          <w:color w:val="000000" w:themeColor="text1"/>
          <w:sz w:val="24"/>
          <w:szCs w:val="24"/>
        </w:rPr>
        <w:t xml:space="preserve"> geçtiğimiz yılın son döneminde aldığı tahvil alımlarını azaltma yönündeki karar, </w:t>
      </w:r>
      <w:r w:rsidR="00066D21">
        <w:rPr>
          <w:color w:val="000000" w:themeColor="text1"/>
          <w:sz w:val="24"/>
          <w:szCs w:val="24"/>
        </w:rPr>
        <w:t>gelişmekte olan ülkelerin para birimlerin</w:t>
      </w:r>
      <w:r w:rsidR="00CE2D6A">
        <w:rPr>
          <w:color w:val="000000" w:themeColor="text1"/>
          <w:sz w:val="24"/>
          <w:szCs w:val="24"/>
        </w:rPr>
        <w:t>de ciddi değer kaybına neden oldu. Y</w:t>
      </w:r>
      <w:r w:rsidR="00066D21">
        <w:rPr>
          <w:color w:val="000000" w:themeColor="text1"/>
          <w:sz w:val="24"/>
          <w:szCs w:val="24"/>
        </w:rPr>
        <w:t>aşanan değer kaybından etkilenen ülkelerin ba</w:t>
      </w:r>
      <w:r w:rsidR="00340576">
        <w:rPr>
          <w:color w:val="000000" w:themeColor="text1"/>
          <w:sz w:val="24"/>
          <w:szCs w:val="24"/>
        </w:rPr>
        <w:t xml:space="preserve">şında Rusya geldi. </w:t>
      </w:r>
      <w:r w:rsidR="00CE2D6A">
        <w:rPr>
          <w:color w:val="000000" w:themeColor="text1"/>
          <w:sz w:val="24"/>
          <w:szCs w:val="24"/>
        </w:rPr>
        <w:t xml:space="preserve">FED kararı nedeniyle </w:t>
      </w:r>
      <w:r w:rsidR="005850B3">
        <w:rPr>
          <w:color w:val="000000" w:themeColor="text1"/>
          <w:sz w:val="24"/>
          <w:szCs w:val="24"/>
        </w:rPr>
        <w:t>Ruble</w:t>
      </w:r>
      <w:r w:rsidR="00CE2D6A">
        <w:rPr>
          <w:color w:val="000000" w:themeColor="text1"/>
          <w:sz w:val="24"/>
          <w:szCs w:val="24"/>
        </w:rPr>
        <w:t xml:space="preserve">; </w:t>
      </w:r>
      <w:r w:rsidR="005850B3">
        <w:rPr>
          <w:color w:val="000000" w:themeColor="text1"/>
          <w:sz w:val="24"/>
          <w:szCs w:val="24"/>
        </w:rPr>
        <w:t xml:space="preserve">Dolar </w:t>
      </w:r>
      <w:r w:rsidR="00CE2D6A">
        <w:rPr>
          <w:color w:val="000000" w:themeColor="text1"/>
          <w:sz w:val="24"/>
          <w:szCs w:val="24"/>
        </w:rPr>
        <w:t>karşısında yüzde 16</w:t>
      </w:r>
      <w:r w:rsidR="00FA5D03">
        <w:rPr>
          <w:color w:val="000000" w:themeColor="text1"/>
          <w:sz w:val="24"/>
          <w:szCs w:val="24"/>
        </w:rPr>
        <w:t>,</w:t>
      </w:r>
      <w:r w:rsidR="00CE2D6A">
        <w:rPr>
          <w:color w:val="000000" w:themeColor="text1"/>
          <w:sz w:val="24"/>
          <w:szCs w:val="24"/>
        </w:rPr>
        <w:t xml:space="preserve"> </w:t>
      </w:r>
      <w:r w:rsidR="005850B3">
        <w:rPr>
          <w:color w:val="000000" w:themeColor="text1"/>
          <w:sz w:val="24"/>
          <w:szCs w:val="24"/>
        </w:rPr>
        <w:t xml:space="preserve">Euro karşısında </w:t>
      </w:r>
      <w:r w:rsidR="00CE2D6A">
        <w:rPr>
          <w:color w:val="000000" w:themeColor="text1"/>
          <w:sz w:val="24"/>
          <w:szCs w:val="24"/>
        </w:rPr>
        <w:t xml:space="preserve">ise yüzde 18’lere varan değer </w:t>
      </w:r>
      <w:r w:rsidR="00CE2D6A">
        <w:rPr>
          <w:color w:val="000000" w:themeColor="text1"/>
          <w:sz w:val="24"/>
          <w:szCs w:val="24"/>
        </w:rPr>
        <w:lastRenderedPageBreak/>
        <w:t xml:space="preserve">kaybı yaşarken </w:t>
      </w:r>
      <w:r w:rsidR="005850B3">
        <w:rPr>
          <w:color w:val="000000" w:themeColor="text1"/>
          <w:sz w:val="24"/>
          <w:szCs w:val="24"/>
        </w:rPr>
        <w:t xml:space="preserve">Rusya ile Ukrayna arasında </w:t>
      </w:r>
      <w:r w:rsidR="008A1581">
        <w:rPr>
          <w:color w:val="000000" w:themeColor="text1"/>
          <w:sz w:val="24"/>
          <w:szCs w:val="24"/>
        </w:rPr>
        <w:t xml:space="preserve">yaşanan </w:t>
      </w:r>
      <w:r w:rsidR="005850B3">
        <w:rPr>
          <w:color w:val="000000" w:themeColor="text1"/>
          <w:sz w:val="24"/>
          <w:szCs w:val="24"/>
        </w:rPr>
        <w:t xml:space="preserve">siyasi kriz ve Kırım sorunu kaynaklı ekonomik endişeler </w:t>
      </w:r>
      <w:r w:rsidR="00CE2D6A">
        <w:rPr>
          <w:color w:val="000000" w:themeColor="text1"/>
          <w:sz w:val="24"/>
          <w:szCs w:val="24"/>
        </w:rPr>
        <w:t>Ruble’deki kan kaybını daha da arttırdı.</w:t>
      </w:r>
      <w:r w:rsidR="00FA5D03">
        <w:rPr>
          <w:color w:val="000000" w:themeColor="text1"/>
          <w:sz w:val="24"/>
          <w:szCs w:val="24"/>
        </w:rPr>
        <w:t xml:space="preserve"> </w:t>
      </w:r>
    </w:p>
    <w:p w:rsidR="008D7255" w:rsidRDefault="000B2E6C" w:rsidP="00154374">
      <w:pPr>
        <w:jc w:val="both"/>
        <w:rPr>
          <w:color w:val="000000" w:themeColor="text1"/>
          <w:sz w:val="24"/>
          <w:szCs w:val="24"/>
        </w:rPr>
      </w:pPr>
      <w:r>
        <w:rPr>
          <w:color w:val="000000" w:themeColor="text1"/>
          <w:sz w:val="24"/>
          <w:szCs w:val="24"/>
        </w:rPr>
        <w:t>S</w:t>
      </w:r>
      <w:r w:rsidR="008D7255" w:rsidRPr="008D7255">
        <w:rPr>
          <w:color w:val="000000" w:themeColor="text1"/>
          <w:sz w:val="24"/>
          <w:szCs w:val="24"/>
        </w:rPr>
        <w:t xml:space="preserve">on olayların ardından Rus Rublesi Dolar karşısında son bir yıllık dönemde </w:t>
      </w:r>
      <w:r w:rsidR="00FA5D03">
        <w:rPr>
          <w:color w:val="000000" w:themeColor="text1"/>
          <w:sz w:val="24"/>
          <w:szCs w:val="24"/>
        </w:rPr>
        <w:t xml:space="preserve">toplamda </w:t>
      </w:r>
      <w:r w:rsidR="008D7255" w:rsidRPr="008D7255">
        <w:rPr>
          <w:color w:val="000000" w:themeColor="text1"/>
          <w:sz w:val="24"/>
          <w:szCs w:val="24"/>
        </w:rPr>
        <w:t xml:space="preserve">yüzde 20, Euro karşısında ise yüzde 25’in üzerinde değer kaybederken </w:t>
      </w:r>
      <w:r w:rsidR="008A1581">
        <w:rPr>
          <w:color w:val="000000" w:themeColor="text1"/>
          <w:sz w:val="24"/>
          <w:szCs w:val="24"/>
        </w:rPr>
        <w:t>u</w:t>
      </w:r>
      <w:r w:rsidR="008D7255" w:rsidRPr="008D7255">
        <w:rPr>
          <w:color w:val="000000" w:themeColor="text1"/>
          <w:sz w:val="24"/>
          <w:szCs w:val="24"/>
        </w:rPr>
        <w:t>luslararası kredi derecelendirme kuruluşu Standard and Poors (S&amp;P) “Yükselen jeopolitik risk” nedeniyle Rusya’nın kredi notunu "durağan"dan "negatif"e çevirdi. S&amp;P’den yapılan açıklamada Kırım</w:t>
      </w:r>
      <w:r w:rsidR="008D7255">
        <w:rPr>
          <w:color w:val="000000" w:themeColor="text1"/>
          <w:sz w:val="24"/>
          <w:szCs w:val="24"/>
        </w:rPr>
        <w:t xml:space="preserve"> sorunu nedeniyle Rusya’ya </w:t>
      </w:r>
      <w:r w:rsidR="00F83A99">
        <w:rPr>
          <w:color w:val="000000" w:themeColor="text1"/>
          <w:sz w:val="24"/>
          <w:szCs w:val="24"/>
        </w:rPr>
        <w:t xml:space="preserve">uygulanma ihtimali olan </w:t>
      </w:r>
      <w:r w:rsidR="008D7255" w:rsidRPr="008D7255">
        <w:rPr>
          <w:color w:val="000000" w:themeColor="text1"/>
          <w:sz w:val="24"/>
          <w:szCs w:val="24"/>
        </w:rPr>
        <w:t>ekonomik yaptırımlar</w:t>
      </w:r>
      <w:r w:rsidR="00F83A99">
        <w:rPr>
          <w:color w:val="000000" w:themeColor="text1"/>
          <w:sz w:val="24"/>
          <w:szCs w:val="24"/>
        </w:rPr>
        <w:t xml:space="preserve">a dikkat çekilirken bunun </w:t>
      </w:r>
      <w:r w:rsidR="008D7255" w:rsidRPr="008D7255">
        <w:rPr>
          <w:color w:val="000000" w:themeColor="text1"/>
          <w:sz w:val="24"/>
          <w:szCs w:val="24"/>
        </w:rPr>
        <w:t xml:space="preserve">potansiyel yatırımları düşürebileceği, sermaye çıkışlarını </w:t>
      </w:r>
      <w:r w:rsidR="008A1581">
        <w:rPr>
          <w:color w:val="000000" w:themeColor="text1"/>
          <w:sz w:val="24"/>
          <w:szCs w:val="24"/>
        </w:rPr>
        <w:t xml:space="preserve">arttırabileceği </w:t>
      </w:r>
      <w:r w:rsidR="008D7255" w:rsidRPr="008D7255">
        <w:rPr>
          <w:color w:val="000000" w:themeColor="text1"/>
          <w:sz w:val="24"/>
          <w:szCs w:val="24"/>
        </w:rPr>
        <w:t xml:space="preserve">ve Rusya ekonomisini zayıflatabileceği belirtildi. </w:t>
      </w:r>
    </w:p>
    <w:p w:rsidR="008D7255" w:rsidRPr="008D7255" w:rsidRDefault="008D7255" w:rsidP="00154374">
      <w:pPr>
        <w:jc w:val="both"/>
        <w:rPr>
          <w:b/>
          <w:color w:val="000000" w:themeColor="text1"/>
          <w:sz w:val="24"/>
          <w:szCs w:val="24"/>
        </w:rPr>
      </w:pPr>
      <w:r w:rsidRPr="008D7255">
        <w:rPr>
          <w:b/>
          <w:color w:val="000000" w:themeColor="text1"/>
          <w:sz w:val="24"/>
          <w:szCs w:val="24"/>
        </w:rPr>
        <w:t>2014 BÜYÜME BEKLENTİSİ AŞAĞI YÖNLÜ REVİZE EDİLDİ</w:t>
      </w:r>
    </w:p>
    <w:p w:rsidR="008D7255" w:rsidRDefault="008D7255" w:rsidP="008D7255">
      <w:pPr>
        <w:jc w:val="both"/>
        <w:rPr>
          <w:color w:val="000000" w:themeColor="text1"/>
          <w:sz w:val="24"/>
          <w:szCs w:val="24"/>
        </w:rPr>
      </w:pPr>
      <w:r>
        <w:rPr>
          <w:color w:val="000000" w:themeColor="text1"/>
          <w:sz w:val="24"/>
          <w:szCs w:val="24"/>
        </w:rPr>
        <w:t xml:space="preserve">Yaşanan son gelişmeler neticesinde birçok uluslararası kuruluş Rus ekonomisi için 2014 yılı beklentisini aşağı yönlü revize etti. </w:t>
      </w:r>
      <w:r w:rsidRPr="008D7255">
        <w:rPr>
          <w:color w:val="000000" w:themeColor="text1"/>
          <w:sz w:val="24"/>
          <w:szCs w:val="24"/>
        </w:rPr>
        <w:t>Uluslararası kredi derecelendirme kuruluşu Standard and Poors</w:t>
      </w:r>
      <w:r>
        <w:rPr>
          <w:color w:val="000000" w:themeColor="text1"/>
          <w:sz w:val="24"/>
          <w:szCs w:val="24"/>
        </w:rPr>
        <w:t xml:space="preserve"> </w:t>
      </w:r>
      <w:r w:rsidRPr="008D7255">
        <w:rPr>
          <w:color w:val="000000" w:themeColor="text1"/>
          <w:sz w:val="24"/>
          <w:szCs w:val="24"/>
        </w:rPr>
        <w:t>Rus</w:t>
      </w:r>
      <w:r>
        <w:rPr>
          <w:color w:val="000000" w:themeColor="text1"/>
          <w:sz w:val="24"/>
          <w:szCs w:val="24"/>
        </w:rPr>
        <w:t>ya</w:t>
      </w:r>
      <w:r w:rsidRPr="008D7255">
        <w:rPr>
          <w:color w:val="000000" w:themeColor="text1"/>
          <w:sz w:val="24"/>
          <w:szCs w:val="24"/>
        </w:rPr>
        <w:t xml:space="preserve"> ekonomisi için büyüme beklentisini yüzde 1,2’ye çekerken ABD’li yatırım bankası Goldman Sachs</w:t>
      </w:r>
      <w:r w:rsidR="008A1581">
        <w:rPr>
          <w:color w:val="000000" w:themeColor="text1"/>
          <w:sz w:val="24"/>
          <w:szCs w:val="24"/>
        </w:rPr>
        <w:t xml:space="preserve"> Rusya için be</w:t>
      </w:r>
      <w:r w:rsidR="00F83A99">
        <w:rPr>
          <w:color w:val="000000" w:themeColor="text1"/>
          <w:sz w:val="24"/>
          <w:szCs w:val="24"/>
        </w:rPr>
        <w:t xml:space="preserve">lirlediği </w:t>
      </w:r>
      <w:r w:rsidR="008A1581">
        <w:rPr>
          <w:color w:val="000000" w:themeColor="text1"/>
          <w:sz w:val="24"/>
          <w:szCs w:val="24"/>
        </w:rPr>
        <w:t xml:space="preserve">2014 yılı büyüme oranını </w:t>
      </w:r>
      <w:r>
        <w:rPr>
          <w:color w:val="000000" w:themeColor="text1"/>
          <w:sz w:val="24"/>
          <w:szCs w:val="24"/>
        </w:rPr>
        <w:t xml:space="preserve">yüzde 3’ten 1’e, Citigroup ise yüzde 2,6’da 1’e </w:t>
      </w:r>
      <w:r w:rsidR="00F83A99">
        <w:rPr>
          <w:color w:val="000000" w:themeColor="text1"/>
          <w:sz w:val="24"/>
          <w:szCs w:val="24"/>
        </w:rPr>
        <w:t>düşürdü</w:t>
      </w:r>
      <w:r>
        <w:rPr>
          <w:color w:val="000000" w:themeColor="text1"/>
          <w:sz w:val="24"/>
          <w:szCs w:val="24"/>
        </w:rPr>
        <w:t>.</w:t>
      </w:r>
    </w:p>
    <w:p w:rsidR="008D7255" w:rsidRDefault="009A1B47" w:rsidP="00340576">
      <w:pPr>
        <w:rPr>
          <w:b/>
          <w:sz w:val="24"/>
          <w:szCs w:val="24"/>
        </w:rPr>
      </w:pPr>
      <w:r>
        <w:rPr>
          <w:b/>
          <w:sz w:val="24"/>
          <w:szCs w:val="24"/>
        </w:rPr>
        <w:t>RUSYA EKONOMİSİ VE TURİZM</w:t>
      </w:r>
    </w:p>
    <w:p w:rsidR="009A1B47" w:rsidRDefault="009A1B47" w:rsidP="009A1B47">
      <w:pPr>
        <w:jc w:val="both"/>
        <w:rPr>
          <w:sz w:val="24"/>
          <w:szCs w:val="24"/>
        </w:rPr>
      </w:pPr>
      <w:r w:rsidRPr="005C5FC9">
        <w:rPr>
          <w:sz w:val="24"/>
          <w:szCs w:val="24"/>
        </w:rPr>
        <w:t>Dünya Seyahat ve Turizm Konseyi (WTTC) verilerine göre, 201</w:t>
      </w:r>
      <w:r>
        <w:rPr>
          <w:sz w:val="24"/>
          <w:szCs w:val="24"/>
        </w:rPr>
        <w:t>3</w:t>
      </w:r>
      <w:r w:rsidRPr="005C5FC9">
        <w:rPr>
          <w:sz w:val="24"/>
          <w:szCs w:val="24"/>
        </w:rPr>
        <w:t xml:space="preserve"> yılında </w:t>
      </w:r>
      <w:r>
        <w:rPr>
          <w:sz w:val="24"/>
          <w:szCs w:val="24"/>
        </w:rPr>
        <w:t xml:space="preserve">Rusya’da </w:t>
      </w:r>
      <w:r w:rsidRPr="005C5FC9">
        <w:rPr>
          <w:sz w:val="24"/>
          <w:szCs w:val="24"/>
        </w:rPr>
        <w:t>turizm sektörünün</w:t>
      </w:r>
      <w:r>
        <w:rPr>
          <w:sz w:val="24"/>
          <w:szCs w:val="24"/>
        </w:rPr>
        <w:t xml:space="preserve"> ülkenin Gayri Safi Yurtiçi Hasılası’na sağladığı direkt katkı yüzde 1,4 düzeyinde bulunurken destek olduğu diğer sektörlerle birlikte turizmin oluşturduğu ekonomik büyüklük</w:t>
      </w:r>
      <w:r w:rsidR="00FA5D03">
        <w:rPr>
          <w:sz w:val="24"/>
          <w:szCs w:val="24"/>
        </w:rPr>
        <w:t>,</w:t>
      </w:r>
      <w:r>
        <w:rPr>
          <w:sz w:val="24"/>
          <w:szCs w:val="24"/>
        </w:rPr>
        <w:t xml:space="preserve"> Rusya ekonomisinin yüzde 5,8’ine karşılık geliyor. </w:t>
      </w:r>
      <w:r w:rsidRPr="005C5FC9">
        <w:rPr>
          <w:sz w:val="24"/>
          <w:szCs w:val="24"/>
        </w:rPr>
        <w:t xml:space="preserve">Turizm sektörü </w:t>
      </w:r>
      <w:r>
        <w:rPr>
          <w:sz w:val="24"/>
          <w:szCs w:val="24"/>
        </w:rPr>
        <w:t>Rusya’da 3</w:t>
      </w:r>
      <w:r w:rsidRPr="005C5FC9">
        <w:rPr>
          <w:sz w:val="24"/>
          <w:szCs w:val="24"/>
        </w:rPr>
        <w:t xml:space="preserve"> milyon </w:t>
      </w:r>
      <w:r>
        <w:rPr>
          <w:sz w:val="24"/>
          <w:szCs w:val="24"/>
        </w:rPr>
        <w:t xml:space="preserve">935 </w:t>
      </w:r>
      <w:r w:rsidRPr="005C5FC9">
        <w:rPr>
          <w:sz w:val="24"/>
          <w:szCs w:val="24"/>
        </w:rPr>
        <w:t>bin</w:t>
      </w:r>
      <w:r>
        <w:rPr>
          <w:sz w:val="24"/>
          <w:szCs w:val="24"/>
        </w:rPr>
        <w:t xml:space="preserve"> </w:t>
      </w:r>
      <w:r w:rsidRPr="005C5FC9">
        <w:rPr>
          <w:sz w:val="24"/>
          <w:szCs w:val="24"/>
        </w:rPr>
        <w:t xml:space="preserve">kişiye doğrudan ve dolaylı olarak iş olanağı sağlayarak ülkedeki toplam istihdamın yüzde </w:t>
      </w:r>
      <w:r>
        <w:rPr>
          <w:sz w:val="24"/>
          <w:szCs w:val="24"/>
        </w:rPr>
        <w:t>5,5’i</w:t>
      </w:r>
      <w:r w:rsidRPr="005C5FC9">
        <w:rPr>
          <w:sz w:val="24"/>
          <w:szCs w:val="24"/>
        </w:rPr>
        <w:t>ni oluştur</w:t>
      </w:r>
      <w:r>
        <w:rPr>
          <w:sz w:val="24"/>
          <w:szCs w:val="24"/>
        </w:rPr>
        <w:t>du</w:t>
      </w:r>
      <w:r w:rsidRPr="005C5FC9">
        <w:rPr>
          <w:sz w:val="24"/>
          <w:szCs w:val="24"/>
        </w:rPr>
        <w:t>.</w:t>
      </w:r>
    </w:p>
    <w:p w:rsidR="009A1B47" w:rsidRDefault="009A1B47" w:rsidP="009A1B47">
      <w:pPr>
        <w:jc w:val="both"/>
        <w:rPr>
          <w:sz w:val="24"/>
          <w:szCs w:val="24"/>
        </w:rPr>
      </w:pPr>
      <w:r>
        <w:rPr>
          <w:noProof/>
          <w:sz w:val="24"/>
          <w:szCs w:val="24"/>
          <w:lang w:eastAsia="tr-TR"/>
        </w:rPr>
        <w:drawing>
          <wp:inline distT="0" distB="0" distL="0" distR="0" wp14:anchorId="58022077" wp14:editId="64A4475A">
            <wp:extent cx="5486400" cy="3095625"/>
            <wp:effectExtent l="38100" t="95250" r="95250" b="2857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1365C" w:rsidRDefault="0081365C" w:rsidP="0081365C">
      <w:pPr>
        <w:jc w:val="both"/>
        <w:rPr>
          <w:sz w:val="20"/>
          <w:szCs w:val="20"/>
        </w:rPr>
      </w:pPr>
      <w:r>
        <w:rPr>
          <w:sz w:val="20"/>
          <w:szCs w:val="20"/>
        </w:rPr>
        <w:t>Kaynak: WTTC</w:t>
      </w:r>
    </w:p>
    <w:p w:rsidR="00630F23" w:rsidRDefault="00630F23" w:rsidP="0081365C">
      <w:pPr>
        <w:jc w:val="both"/>
        <w:rPr>
          <w:sz w:val="20"/>
          <w:szCs w:val="20"/>
        </w:rPr>
      </w:pPr>
    </w:p>
    <w:p w:rsidR="00630F23" w:rsidRPr="005C5FC9" w:rsidRDefault="00630F23" w:rsidP="0081365C">
      <w:pPr>
        <w:jc w:val="both"/>
        <w:rPr>
          <w:sz w:val="20"/>
          <w:szCs w:val="20"/>
        </w:rPr>
      </w:pPr>
    </w:p>
    <w:p w:rsidR="00391A51" w:rsidRPr="00391A51" w:rsidRDefault="008E7834" w:rsidP="009A1B47">
      <w:pPr>
        <w:jc w:val="both"/>
        <w:rPr>
          <w:b/>
          <w:sz w:val="24"/>
          <w:szCs w:val="24"/>
        </w:rPr>
      </w:pPr>
      <w:r w:rsidRPr="00391A51">
        <w:rPr>
          <w:b/>
          <w:sz w:val="24"/>
          <w:szCs w:val="24"/>
        </w:rPr>
        <w:t>RUSLAR</w:t>
      </w:r>
      <w:r w:rsidR="00391A51" w:rsidRPr="00391A51">
        <w:rPr>
          <w:b/>
          <w:sz w:val="24"/>
          <w:szCs w:val="24"/>
        </w:rPr>
        <w:t xml:space="preserve">IN TURİZM HARCAMASI </w:t>
      </w:r>
      <w:r w:rsidR="003B5E99">
        <w:rPr>
          <w:b/>
          <w:sz w:val="24"/>
          <w:szCs w:val="24"/>
        </w:rPr>
        <w:t>10 YILDA 3 KATTAN FAZLA ARTTI</w:t>
      </w:r>
    </w:p>
    <w:p w:rsidR="00391A51" w:rsidRDefault="00391A51" w:rsidP="00391A51">
      <w:pPr>
        <w:jc w:val="both"/>
        <w:rPr>
          <w:sz w:val="24"/>
          <w:szCs w:val="24"/>
        </w:rPr>
      </w:pPr>
      <w:r>
        <w:rPr>
          <w:sz w:val="24"/>
          <w:szCs w:val="24"/>
        </w:rPr>
        <w:t xml:space="preserve">“BRIC ülkeleri” (Brezilya, Rusya, Hindistan ve Çin) olarak adlandırılan ülkelerin dünya turizmindeki payı son yıllarda giderek </w:t>
      </w:r>
      <w:r w:rsidR="00B94571">
        <w:rPr>
          <w:sz w:val="24"/>
          <w:szCs w:val="24"/>
        </w:rPr>
        <w:t>yükselirken</w:t>
      </w:r>
      <w:r>
        <w:rPr>
          <w:sz w:val="24"/>
          <w:szCs w:val="24"/>
        </w:rPr>
        <w:t xml:space="preserve"> Rusya artan turizm ha</w:t>
      </w:r>
      <w:r w:rsidR="0021757E">
        <w:rPr>
          <w:sz w:val="24"/>
          <w:szCs w:val="24"/>
        </w:rPr>
        <w:t>rcaması ile dikkat çekiyor. 2003</w:t>
      </w:r>
      <w:r>
        <w:rPr>
          <w:sz w:val="24"/>
          <w:szCs w:val="24"/>
        </w:rPr>
        <w:t xml:space="preserve"> yılında yurtdışı turizm harcaması 1</w:t>
      </w:r>
      <w:r w:rsidR="0021757E">
        <w:rPr>
          <w:sz w:val="24"/>
          <w:szCs w:val="24"/>
        </w:rPr>
        <w:t>2</w:t>
      </w:r>
      <w:r>
        <w:rPr>
          <w:sz w:val="24"/>
          <w:szCs w:val="24"/>
        </w:rPr>
        <w:t>,</w:t>
      </w:r>
      <w:r w:rsidR="0021757E">
        <w:rPr>
          <w:sz w:val="24"/>
          <w:szCs w:val="24"/>
        </w:rPr>
        <w:t>9</w:t>
      </w:r>
      <w:r>
        <w:rPr>
          <w:sz w:val="24"/>
          <w:szCs w:val="24"/>
        </w:rPr>
        <w:t xml:space="preserve"> milyar dolar seviyesinde bulunan Rus turistler</w:t>
      </w:r>
      <w:r w:rsidR="00FA5D03">
        <w:rPr>
          <w:sz w:val="24"/>
          <w:szCs w:val="24"/>
        </w:rPr>
        <w:t>,</w:t>
      </w:r>
      <w:r>
        <w:rPr>
          <w:sz w:val="24"/>
          <w:szCs w:val="24"/>
        </w:rPr>
        <w:t xml:space="preserve"> aradan geçen 10 yıllık dönemde turizm harcamalarını 3 kat</w:t>
      </w:r>
      <w:r w:rsidR="0021757E">
        <w:rPr>
          <w:sz w:val="24"/>
          <w:szCs w:val="24"/>
        </w:rPr>
        <w:t>t</w:t>
      </w:r>
      <w:r>
        <w:rPr>
          <w:sz w:val="24"/>
          <w:szCs w:val="24"/>
        </w:rPr>
        <w:t>a</w:t>
      </w:r>
      <w:r w:rsidR="0021757E">
        <w:rPr>
          <w:sz w:val="24"/>
          <w:szCs w:val="24"/>
        </w:rPr>
        <w:t xml:space="preserve">n fazla </w:t>
      </w:r>
      <w:r>
        <w:rPr>
          <w:sz w:val="24"/>
          <w:szCs w:val="24"/>
        </w:rPr>
        <w:t xml:space="preserve">arttırdı. Birleşmiş Milletler Dünya Turizm Örgütü verilerine göre; Rusların </w:t>
      </w:r>
      <w:r w:rsidR="0021757E">
        <w:rPr>
          <w:sz w:val="24"/>
          <w:szCs w:val="24"/>
        </w:rPr>
        <w:t>yurtdışı turizm harcamaları 2007</w:t>
      </w:r>
      <w:r>
        <w:rPr>
          <w:sz w:val="24"/>
          <w:szCs w:val="24"/>
        </w:rPr>
        <w:t xml:space="preserve"> yılında 22,3 milyar dolara, 2010 yılında 26.6 milyar dolara ulaşırken 201</w:t>
      </w:r>
      <w:r w:rsidR="0021757E">
        <w:rPr>
          <w:sz w:val="24"/>
          <w:szCs w:val="24"/>
        </w:rPr>
        <w:t>2</w:t>
      </w:r>
      <w:r>
        <w:rPr>
          <w:sz w:val="24"/>
          <w:szCs w:val="24"/>
        </w:rPr>
        <w:t xml:space="preserve"> yılındaki harcama miktarı 40 milyar doları aştı.</w:t>
      </w:r>
    </w:p>
    <w:p w:rsidR="00391A51" w:rsidRDefault="00391A51" w:rsidP="00391A51">
      <w:pPr>
        <w:jc w:val="both"/>
        <w:rPr>
          <w:sz w:val="24"/>
          <w:szCs w:val="24"/>
        </w:rPr>
      </w:pPr>
      <w:r>
        <w:rPr>
          <w:noProof/>
          <w:sz w:val="24"/>
          <w:szCs w:val="24"/>
          <w:lang w:eastAsia="tr-TR"/>
        </w:rPr>
        <w:drawing>
          <wp:inline distT="0" distB="0" distL="0" distR="0">
            <wp:extent cx="5486400" cy="3200400"/>
            <wp:effectExtent l="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757E" w:rsidRPr="005C5FC9" w:rsidRDefault="0021757E" w:rsidP="0021757E">
      <w:pPr>
        <w:jc w:val="both"/>
        <w:rPr>
          <w:sz w:val="20"/>
          <w:szCs w:val="20"/>
        </w:rPr>
      </w:pPr>
      <w:r>
        <w:rPr>
          <w:sz w:val="20"/>
          <w:szCs w:val="20"/>
        </w:rPr>
        <w:t>Kaynak: UNWTO</w:t>
      </w:r>
    </w:p>
    <w:p w:rsidR="009A1B47" w:rsidRPr="00D47D53" w:rsidRDefault="00D47D53" w:rsidP="009A1B47">
      <w:pPr>
        <w:jc w:val="both"/>
        <w:rPr>
          <w:b/>
          <w:sz w:val="24"/>
          <w:szCs w:val="24"/>
        </w:rPr>
      </w:pPr>
      <w:r w:rsidRPr="00D47D53">
        <w:rPr>
          <w:b/>
          <w:sz w:val="24"/>
          <w:szCs w:val="24"/>
        </w:rPr>
        <w:t xml:space="preserve">RUS VATANDAŞLARI </w:t>
      </w:r>
      <w:r w:rsidR="008E7834" w:rsidRPr="00D47D53">
        <w:rPr>
          <w:b/>
          <w:sz w:val="24"/>
          <w:szCs w:val="24"/>
        </w:rPr>
        <w:t>2013’TE</w:t>
      </w:r>
      <w:r w:rsidRPr="00D47D53">
        <w:rPr>
          <w:b/>
          <w:sz w:val="24"/>
          <w:szCs w:val="24"/>
        </w:rPr>
        <w:t xml:space="preserve"> 54 MİLYON YURTDIŞI SEYAHAT GERÇEKLEŞTİRDİ</w:t>
      </w:r>
      <w:r w:rsidR="008E7834" w:rsidRPr="00D47D53">
        <w:rPr>
          <w:b/>
          <w:sz w:val="24"/>
          <w:szCs w:val="24"/>
        </w:rPr>
        <w:t xml:space="preserve"> </w:t>
      </w:r>
    </w:p>
    <w:p w:rsidR="00AC50EE" w:rsidRDefault="008E7834" w:rsidP="009A1B47">
      <w:pPr>
        <w:jc w:val="both"/>
        <w:rPr>
          <w:sz w:val="24"/>
          <w:szCs w:val="24"/>
        </w:rPr>
      </w:pPr>
      <w:r>
        <w:rPr>
          <w:sz w:val="24"/>
          <w:szCs w:val="24"/>
        </w:rPr>
        <w:t xml:space="preserve">Rusya Federal İstatistik Kurumu (Rosstat) tarafından açıklanan 2013 yılı verilerine göre Rus vatandaşları geçtiğimiz yıl toplam 54 milyon yurtdışı seyahati gerçekleştirdi. </w:t>
      </w:r>
      <w:r w:rsidR="00D47D53">
        <w:rPr>
          <w:sz w:val="24"/>
          <w:szCs w:val="24"/>
        </w:rPr>
        <w:t>Bu seyahatlerin 18 milyon 300 bini turistik amaçlarla gerçekleşirken Türkiye</w:t>
      </w:r>
      <w:r w:rsidR="00687F2F">
        <w:rPr>
          <w:sz w:val="24"/>
          <w:szCs w:val="24"/>
        </w:rPr>
        <w:t>,</w:t>
      </w:r>
      <w:r w:rsidR="00D47D53">
        <w:rPr>
          <w:sz w:val="24"/>
          <w:szCs w:val="24"/>
        </w:rPr>
        <w:t xml:space="preserve"> turistik tale</w:t>
      </w:r>
      <w:r w:rsidR="00687F2F">
        <w:rPr>
          <w:sz w:val="24"/>
          <w:szCs w:val="24"/>
        </w:rPr>
        <w:t>bin en yüksek olduğu ülke oldu.</w:t>
      </w:r>
      <w:r w:rsidR="00947046">
        <w:rPr>
          <w:sz w:val="24"/>
          <w:szCs w:val="24"/>
        </w:rPr>
        <w:t xml:space="preserve"> Türkiye, 2013 yılında 4 milyonun üzerinde Rus vatandaşını ağırlarken Rosstat verilerine göre Türkiye’ye gelen Rus vatandaşlarının 3 milyon 78 bini turistik amaçlı olarak bunu gerçekleştirdi.</w:t>
      </w:r>
    </w:p>
    <w:p w:rsidR="00947046" w:rsidRDefault="00947046" w:rsidP="009A1B47">
      <w:pPr>
        <w:jc w:val="both"/>
        <w:rPr>
          <w:sz w:val="24"/>
          <w:szCs w:val="24"/>
        </w:rPr>
      </w:pPr>
    </w:p>
    <w:p w:rsidR="00947046" w:rsidRDefault="00947046" w:rsidP="009A1B47">
      <w:pPr>
        <w:jc w:val="both"/>
        <w:rPr>
          <w:sz w:val="24"/>
          <w:szCs w:val="24"/>
        </w:rPr>
      </w:pPr>
    </w:p>
    <w:p w:rsidR="00947046" w:rsidRDefault="00947046" w:rsidP="009A1B47">
      <w:pPr>
        <w:jc w:val="both"/>
        <w:rPr>
          <w:sz w:val="24"/>
          <w:szCs w:val="24"/>
        </w:rPr>
      </w:pPr>
    </w:p>
    <w:p w:rsidR="00947046" w:rsidRDefault="00947046" w:rsidP="009A1B47">
      <w:pPr>
        <w:jc w:val="both"/>
        <w:rPr>
          <w:sz w:val="24"/>
          <w:szCs w:val="24"/>
        </w:rPr>
      </w:pPr>
    </w:p>
    <w:p w:rsidR="00AC50EE" w:rsidRDefault="00202F12" w:rsidP="009A1B47">
      <w:pPr>
        <w:jc w:val="both"/>
        <w:rPr>
          <w:sz w:val="24"/>
          <w:szCs w:val="24"/>
        </w:rPr>
      </w:pPr>
      <w:r>
        <w:rPr>
          <w:noProof/>
          <w:sz w:val="24"/>
          <w:szCs w:val="24"/>
          <w:lang w:eastAsia="tr-TR"/>
        </w:rPr>
        <w:drawing>
          <wp:inline distT="0" distB="0" distL="0" distR="0" wp14:anchorId="435DA7FD" wp14:editId="7B0264A1">
            <wp:extent cx="5486400" cy="32004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7834" w:rsidRPr="005C5FC9" w:rsidRDefault="008E7834" w:rsidP="008E7834">
      <w:pPr>
        <w:jc w:val="both"/>
        <w:rPr>
          <w:sz w:val="20"/>
          <w:szCs w:val="20"/>
        </w:rPr>
      </w:pPr>
      <w:r>
        <w:rPr>
          <w:sz w:val="20"/>
          <w:szCs w:val="20"/>
        </w:rPr>
        <w:t>Kaynak: Rosstat</w:t>
      </w:r>
    </w:p>
    <w:p w:rsidR="006E7D8D" w:rsidRDefault="006E7D8D" w:rsidP="00340576">
      <w:pPr>
        <w:rPr>
          <w:b/>
          <w:sz w:val="24"/>
          <w:szCs w:val="24"/>
        </w:rPr>
      </w:pPr>
      <w:r>
        <w:rPr>
          <w:b/>
          <w:sz w:val="24"/>
          <w:szCs w:val="24"/>
        </w:rPr>
        <w:t xml:space="preserve">RUSLAR </w:t>
      </w:r>
      <w:r w:rsidR="00A97751">
        <w:rPr>
          <w:b/>
          <w:sz w:val="24"/>
          <w:szCs w:val="24"/>
        </w:rPr>
        <w:t>“SON DAKİKA”</w:t>
      </w:r>
      <w:r>
        <w:rPr>
          <w:b/>
          <w:sz w:val="24"/>
          <w:szCs w:val="24"/>
        </w:rPr>
        <w:t xml:space="preserve"> REZERVASYONU</w:t>
      </w:r>
      <w:r w:rsidR="00A97751">
        <w:rPr>
          <w:b/>
          <w:sz w:val="24"/>
          <w:szCs w:val="24"/>
        </w:rPr>
        <w:t xml:space="preserve"> SEVİYOR</w:t>
      </w:r>
    </w:p>
    <w:p w:rsidR="00FA5D03" w:rsidRDefault="00A97751" w:rsidP="00340576">
      <w:pPr>
        <w:rPr>
          <w:sz w:val="24"/>
          <w:szCs w:val="24"/>
        </w:rPr>
      </w:pPr>
      <w:r>
        <w:rPr>
          <w:sz w:val="24"/>
          <w:szCs w:val="24"/>
        </w:rPr>
        <w:t>Son yıllarda erken rezervasyon sürecine ilgi artmasına karşın Rus</w:t>
      </w:r>
      <w:r w:rsidR="00227D25">
        <w:rPr>
          <w:sz w:val="24"/>
          <w:szCs w:val="24"/>
        </w:rPr>
        <w:t xml:space="preserve"> vatandaşları</w:t>
      </w:r>
      <w:r>
        <w:rPr>
          <w:sz w:val="24"/>
          <w:szCs w:val="24"/>
        </w:rPr>
        <w:t>, “</w:t>
      </w:r>
      <w:r w:rsidR="00227D25">
        <w:rPr>
          <w:sz w:val="24"/>
          <w:szCs w:val="24"/>
        </w:rPr>
        <w:t>s</w:t>
      </w:r>
      <w:r>
        <w:rPr>
          <w:sz w:val="24"/>
          <w:szCs w:val="24"/>
        </w:rPr>
        <w:t xml:space="preserve">on dakika” rezervasyon </w:t>
      </w:r>
      <w:r w:rsidR="00227D25">
        <w:rPr>
          <w:sz w:val="24"/>
          <w:szCs w:val="24"/>
        </w:rPr>
        <w:t xml:space="preserve">alışkanlıkları </w:t>
      </w:r>
      <w:r>
        <w:rPr>
          <w:sz w:val="24"/>
          <w:szCs w:val="24"/>
        </w:rPr>
        <w:t>ile dikkat çek</w:t>
      </w:r>
      <w:r w:rsidR="00227D25">
        <w:rPr>
          <w:sz w:val="24"/>
          <w:szCs w:val="24"/>
        </w:rPr>
        <w:t xml:space="preserve">iyor. </w:t>
      </w:r>
      <w:r w:rsidRPr="00A97751">
        <w:rPr>
          <w:sz w:val="24"/>
          <w:szCs w:val="24"/>
        </w:rPr>
        <w:t>IPK International’s Wor</w:t>
      </w:r>
      <w:r>
        <w:rPr>
          <w:sz w:val="24"/>
          <w:szCs w:val="24"/>
        </w:rPr>
        <w:t>ld Travel Monitor Araştırması’na göre 2012 yılında Rus vatandaşlarının yüzde 73’ü tatillerini seyahatin başlamasına 30 gün veya dah</w:t>
      </w:r>
      <w:r w:rsidR="00227D25">
        <w:rPr>
          <w:sz w:val="24"/>
          <w:szCs w:val="24"/>
        </w:rPr>
        <w:t xml:space="preserve">a kısa süre kala gerçekleştirdi. </w:t>
      </w:r>
    </w:p>
    <w:p w:rsidR="00AE26C9" w:rsidRDefault="00227D25" w:rsidP="00340576">
      <w:pPr>
        <w:rPr>
          <w:b/>
          <w:sz w:val="24"/>
          <w:szCs w:val="24"/>
        </w:rPr>
      </w:pPr>
      <w:r w:rsidRPr="00227D25">
        <w:rPr>
          <w:b/>
          <w:sz w:val="24"/>
          <w:szCs w:val="24"/>
        </w:rPr>
        <w:t>RUSLAR</w:t>
      </w:r>
      <w:r w:rsidR="00004454">
        <w:rPr>
          <w:b/>
          <w:sz w:val="24"/>
          <w:szCs w:val="24"/>
        </w:rPr>
        <w:t xml:space="preserve"> </w:t>
      </w:r>
      <w:r w:rsidR="00AE26C9">
        <w:rPr>
          <w:b/>
          <w:sz w:val="24"/>
          <w:szCs w:val="24"/>
        </w:rPr>
        <w:t>EN ÇOK 2-3 GÜNLÜK KONAKLAMAYI TERCİH EDİYOR</w:t>
      </w:r>
    </w:p>
    <w:p w:rsidR="00227D25" w:rsidRDefault="006E7D8D" w:rsidP="00340576">
      <w:pPr>
        <w:rPr>
          <w:sz w:val="24"/>
          <w:szCs w:val="24"/>
        </w:rPr>
      </w:pPr>
      <w:r>
        <w:rPr>
          <w:sz w:val="24"/>
          <w:szCs w:val="24"/>
        </w:rPr>
        <w:t xml:space="preserve">Rusya, uzun tatil dönemleri ile dikkat çeken bir ülke. Rus vatandaşlarının yılbaşı tatili ve Mayıs tatili ile birlikte yılda 40 güne yaklaşan tatili bulunuyor. Okullar Haziran ayında tatile girerken Eylül ayının başında eğitim öğretim faaliyetleri yeniden başlıyor. </w:t>
      </w:r>
      <w:r w:rsidR="00A97751">
        <w:rPr>
          <w:sz w:val="24"/>
          <w:szCs w:val="24"/>
        </w:rPr>
        <w:t>Ancak bu uzun tatil sürelerine karşın Rusların tatilde ge</w:t>
      </w:r>
      <w:r w:rsidR="00705A70">
        <w:rPr>
          <w:sz w:val="24"/>
          <w:szCs w:val="24"/>
        </w:rPr>
        <w:t xml:space="preserve">rçekleştirdikleri </w:t>
      </w:r>
      <w:r w:rsidR="00F83A99">
        <w:rPr>
          <w:sz w:val="24"/>
          <w:szCs w:val="24"/>
        </w:rPr>
        <w:t xml:space="preserve">turistik </w:t>
      </w:r>
      <w:r w:rsidR="00705A70">
        <w:rPr>
          <w:sz w:val="24"/>
          <w:szCs w:val="24"/>
        </w:rPr>
        <w:t xml:space="preserve">konaklama </w:t>
      </w:r>
      <w:r w:rsidR="00A97751">
        <w:rPr>
          <w:sz w:val="24"/>
          <w:szCs w:val="24"/>
        </w:rPr>
        <w:t>süre</w:t>
      </w:r>
      <w:r w:rsidR="00705A70">
        <w:rPr>
          <w:sz w:val="24"/>
          <w:szCs w:val="24"/>
        </w:rPr>
        <w:t>si</w:t>
      </w:r>
      <w:r w:rsidR="00A97751">
        <w:rPr>
          <w:sz w:val="24"/>
          <w:szCs w:val="24"/>
        </w:rPr>
        <w:t xml:space="preserve"> aynı ölçüde uzun seyretmiyor.</w:t>
      </w:r>
    </w:p>
    <w:p w:rsidR="00227D25" w:rsidRDefault="00227D25" w:rsidP="00340576">
      <w:pPr>
        <w:rPr>
          <w:sz w:val="24"/>
          <w:szCs w:val="24"/>
        </w:rPr>
      </w:pPr>
      <w:r>
        <w:rPr>
          <w:sz w:val="24"/>
          <w:szCs w:val="24"/>
        </w:rPr>
        <w:t xml:space="preserve">Russian Travel Monitor Araştırması’na göre Rus </w:t>
      </w:r>
      <w:r w:rsidR="00004454">
        <w:rPr>
          <w:sz w:val="24"/>
          <w:szCs w:val="24"/>
        </w:rPr>
        <w:t xml:space="preserve">vatandaşlarının yüzde 50’si seyahatleri sırasında 2-3 gün arasında </w:t>
      </w:r>
      <w:r w:rsidR="00FA5D03">
        <w:rPr>
          <w:sz w:val="24"/>
          <w:szCs w:val="24"/>
        </w:rPr>
        <w:t>geceleme gerçekleştiriyorlar. 4-6 gün arası otel konaklaması gerçekleştiren Rus vatandaşlarının oranı ise yüzde 23 düzeyinde bulunuyor. Rus vatandaşlarının yüzde 11’i 7-9 konaklamalı tatilleri tercih ederken 10-12 günlük tatile çıkanların oranı yüzde 4 düzeyinde bulunuyor.</w:t>
      </w:r>
    </w:p>
    <w:p w:rsidR="00004454" w:rsidRDefault="00004454" w:rsidP="00340576">
      <w:pPr>
        <w:rPr>
          <w:sz w:val="24"/>
          <w:szCs w:val="24"/>
        </w:rPr>
      </w:pPr>
      <w:r>
        <w:rPr>
          <w:noProof/>
          <w:sz w:val="24"/>
          <w:szCs w:val="24"/>
          <w:lang w:eastAsia="tr-TR"/>
        </w:rPr>
        <w:lastRenderedPageBreak/>
        <w:drawing>
          <wp:inline distT="0" distB="0" distL="0" distR="0">
            <wp:extent cx="5486400" cy="3143250"/>
            <wp:effectExtent l="38100" t="95250" r="95250" b="3810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7D25" w:rsidRPr="00947046" w:rsidRDefault="00004454" w:rsidP="00340576">
      <w:pPr>
        <w:rPr>
          <w:sz w:val="18"/>
          <w:szCs w:val="18"/>
        </w:rPr>
      </w:pPr>
      <w:r w:rsidRPr="00947046">
        <w:rPr>
          <w:sz w:val="18"/>
          <w:szCs w:val="18"/>
        </w:rPr>
        <w:t>Kaynak: Russian Travel Monitor</w:t>
      </w:r>
    </w:p>
    <w:p w:rsidR="00947046" w:rsidRDefault="00947046" w:rsidP="00947046">
      <w:pPr>
        <w:jc w:val="both"/>
        <w:rPr>
          <w:b/>
          <w:sz w:val="24"/>
          <w:szCs w:val="24"/>
        </w:rPr>
      </w:pPr>
      <w:r>
        <w:rPr>
          <w:b/>
          <w:sz w:val="24"/>
          <w:szCs w:val="24"/>
        </w:rPr>
        <w:t>RUSYA’DAN TÜRKİYE’YE GELEN TURİST SAYISI 4.2 MİLYONU AŞTI</w:t>
      </w:r>
    </w:p>
    <w:p w:rsidR="00947046" w:rsidRDefault="00947046" w:rsidP="00B12455">
      <w:pPr>
        <w:jc w:val="both"/>
        <w:rPr>
          <w:sz w:val="24"/>
          <w:szCs w:val="24"/>
        </w:rPr>
      </w:pPr>
      <w:r>
        <w:rPr>
          <w:sz w:val="24"/>
          <w:szCs w:val="24"/>
        </w:rPr>
        <w:t>143 milyonluk nüfusu ve artan yurtdışı çıkışlarıyla Rusya</w:t>
      </w:r>
      <w:r w:rsidR="00FA5D03">
        <w:rPr>
          <w:sz w:val="24"/>
          <w:szCs w:val="24"/>
        </w:rPr>
        <w:t>,</w:t>
      </w:r>
      <w:r>
        <w:rPr>
          <w:sz w:val="24"/>
          <w:szCs w:val="24"/>
        </w:rPr>
        <w:t xml:space="preserve"> dünya turizmi için en hızlı büyüyen pazarların başında geliyor. Türkiye’nin Rusya pazarındaki yükselişi </w:t>
      </w:r>
      <w:r w:rsidR="00B12455">
        <w:rPr>
          <w:sz w:val="24"/>
          <w:szCs w:val="24"/>
        </w:rPr>
        <w:t>de</w:t>
      </w:r>
      <w:r>
        <w:rPr>
          <w:sz w:val="24"/>
          <w:szCs w:val="24"/>
        </w:rPr>
        <w:t xml:space="preserve"> </w:t>
      </w:r>
      <w:r w:rsidR="00B12455">
        <w:rPr>
          <w:sz w:val="24"/>
          <w:szCs w:val="24"/>
        </w:rPr>
        <w:t xml:space="preserve">çok hızlı bir şekilde gerçekleşti. </w:t>
      </w:r>
      <w:r w:rsidR="00B12455" w:rsidRPr="00B12455">
        <w:rPr>
          <w:sz w:val="24"/>
          <w:szCs w:val="24"/>
        </w:rPr>
        <w:t>2000 yılında Türkiye'ye gelen Rus turist sayısı 676 bin</w:t>
      </w:r>
      <w:r w:rsidR="00B12455">
        <w:rPr>
          <w:sz w:val="24"/>
          <w:szCs w:val="24"/>
        </w:rPr>
        <w:t xml:space="preserve"> düzeyinde iken</w:t>
      </w:r>
      <w:r w:rsidR="00F83A99">
        <w:rPr>
          <w:sz w:val="24"/>
          <w:szCs w:val="24"/>
        </w:rPr>
        <w:t xml:space="preserve"> bu sayı</w:t>
      </w:r>
      <w:r w:rsidR="00B12455">
        <w:rPr>
          <w:sz w:val="24"/>
          <w:szCs w:val="24"/>
        </w:rPr>
        <w:t xml:space="preserve"> 2013 yılı sonunda 4 milyon 269 bin seviyesine yükseldi. Bu veriler Rusya’yı Almanya’nın ardından Türkiye’nin en büyük ikinci turizm pazarı konumuna taşıdı.</w:t>
      </w:r>
    </w:p>
    <w:p w:rsidR="00B12455" w:rsidRDefault="00B12455" w:rsidP="00B12455">
      <w:pPr>
        <w:jc w:val="both"/>
        <w:rPr>
          <w:sz w:val="24"/>
          <w:szCs w:val="24"/>
        </w:rPr>
      </w:pPr>
      <w:r>
        <w:rPr>
          <w:noProof/>
          <w:sz w:val="24"/>
          <w:szCs w:val="24"/>
          <w:lang w:eastAsia="tr-TR"/>
        </w:rPr>
        <w:drawing>
          <wp:inline distT="0" distB="0" distL="0" distR="0">
            <wp:extent cx="5486400" cy="3200400"/>
            <wp:effectExtent l="38100" t="95250" r="95250" b="3810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46" w:rsidRDefault="00947046" w:rsidP="00947046">
      <w:pPr>
        <w:jc w:val="both"/>
        <w:rPr>
          <w:b/>
          <w:sz w:val="24"/>
          <w:szCs w:val="24"/>
        </w:rPr>
      </w:pPr>
      <w:r>
        <w:rPr>
          <w:sz w:val="16"/>
          <w:szCs w:val="16"/>
        </w:rPr>
        <w:t>* Kaynak: Kültür ve Turizm Bakanlığı</w:t>
      </w:r>
    </w:p>
    <w:p w:rsidR="00004454" w:rsidRPr="00227D25" w:rsidRDefault="00F15723" w:rsidP="00004454">
      <w:pPr>
        <w:rPr>
          <w:b/>
          <w:sz w:val="24"/>
          <w:szCs w:val="24"/>
        </w:rPr>
      </w:pPr>
      <w:r>
        <w:rPr>
          <w:b/>
          <w:sz w:val="24"/>
          <w:szCs w:val="24"/>
        </w:rPr>
        <w:lastRenderedPageBreak/>
        <w:t>YÜZDE 88’İ OTEL, MOTEL</w:t>
      </w:r>
      <w:r w:rsidR="00AE26C9">
        <w:rPr>
          <w:b/>
          <w:sz w:val="24"/>
          <w:szCs w:val="24"/>
        </w:rPr>
        <w:t>,</w:t>
      </w:r>
      <w:r>
        <w:rPr>
          <w:b/>
          <w:sz w:val="24"/>
          <w:szCs w:val="24"/>
        </w:rPr>
        <w:t xml:space="preserve"> TATİL KÖYÜ VE PANSİYONLARDA KALIYOR</w:t>
      </w:r>
    </w:p>
    <w:p w:rsidR="00227D25" w:rsidRDefault="00227D25" w:rsidP="00340576">
      <w:pPr>
        <w:rPr>
          <w:sz w:val="24"/>
          <w:szCs w:val="24"/>
        </w:rPr>
      </w:pPr>
      <w:r>
        <w:rPr>
          <w:sz w:val="24"/>
          <w:szCs w:val="24"/>
        </w:rPr>
        <w:t>Türkiye İstatistik</w:t>
      </w:r>
      <w:r w:rsidR="00004454">
        <w:rPr>
          <w:sz w:val="24"/>
          <w:szCs w:val="24"/>
        </w:rPr>
        <w:t xml:space="preserve"> Kurumu tarafından gerçekleştirilen araştırmaya göre Rus turistlerin </w:t>
      </w:r>
      <w:r w:rsidR="00D17593">
        <w:rPr>
          <w:sz w:val="24"/>
          <w:szCs w:val="24"/>
        </w:rPr>
        <w:t xml:space="preserve">2013 yılında </w:t>
      </w:r>
      <w:r w:rsidR="00004454">
        <w:rPr>
          <w:sz w:val="24"/>
          <w:szCs w:val="24"/>
        </w:rPr>
        <w:t>Türkiye’de gerçek</w:t>
      </w:r>
      <w:r w:rsidR="00D17593">
        <w:rPr>
          <w:sz w:val="24"/>
          <w:szCs w:val="24"/>
        </w:rPr>
        <w:t>leştirdikleri geceleme sayısı 26 milyon 771 bin 783 oldu</w:t>
      </w:r>
      <w:r w:rsidR="004514B4">
        <w:rPr>
          <w:sz w:val="24"/>
          <w:szCs w:val="24"/>
        </w:rPr>
        <w:t xml:space="preserve">. </w:t>
      </w:r>
      <w:r w:rsidR="00D17593">
        <w:rPr>
          <w:sz w:val="24"/>
          <w:szCs w:val="24"/>
        </w:rPr>
        <w:t xml:space="preserve">Bu gecelemelerin yüzde 72’si otellerde yüzde 11’i motel, tatil köyü ve pansiyonlarda gerçekleşti. </w:t>
      </w:r>
    </w:p>
    <w:p w:rsidR="00D17593" w:rsidRDefault="00F15723" w:rsidP="00340576">
      <w:pPr>
        <w:rPr>
          <w:sz w:val="24"/>
          <w:szCs w:val="24"/>
        </w:rPr>
      </w:pPr>
      <w:r>
        <w:rPr>
          <w:noProof/>
          <w:sz w:val="24"/>
          <w:szCs w:val="24"/>
          <w:lang w:eastAsia="tr-TR"/>
        </w:rPr>
        <w:drawing>
          <wp:inline distT="0" distB="0" distL="0" distR="0">
            <wp:extent cx="5486400" cy="3140015"/>
            <wp:effectExtent l="38100" t="95250" r="95250" b="4191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5723" w:rsidRDefault="00F15723" w:rsidP="00F15723">
      <w:pPr>
        <w:jc w:val="both"/>
        <w:rPr>
          <w:b/>
          <w:sz w:val="24"/>
          <w:szCs w:val="24"/>
        </w:rPr>
      </w:pPr>
      <w:r>
        <w:rPr>
          <w:sz w:val="16"/>
          <w:szCs w:val="16"/>
        </w:rPr>
        <w:t>* Kaynak: TÜİK</w:t>
      </w:r>
    </w:p>
    <w:p w:rsidR="004514B4" w:rsidRPr="003C15BB" w:rsidRDefault="004514B4" w:rsidP="004514B4">
      <w:pPr>
        <w:jc w:val="both"/>
        <w:rPr>
          <w:b/>
          <w:sz w:val="24"/>
          <w:szCs w:val="24"/>
        </w:rPr>
      </w:pPr>
      <w:r>
        <w:rPr>
          <w:b/>
          <w:sz w:val="24"/>
          <w:szCs w:val="24"/>
        </w:rPr>
        <w:t>RUS</w:t>
      </w:r>
      <w:r w:rsidRPr="003C15BB">
        <w:rPr>
          <w:b/>
          <w:sz w:val="24"/>
          <w:szCs w:val="24"/>
        </w:rPr>
        <w:t xml:space="preserve"> TURİST TÜRKİYE’DE</w:t>
      </w:r>
      <w:r>
        <w:rPr>
          <w:b/>
          <w:sz w:val="24"/>
          <w:szCs w:val="24"/>
        </w:rPr>
        <w:t xml:space="preserve"> ORTALAMA</w:t>
      </w:r>
      <w:r w:rsidRPr="003C15BB">
        <w:rPr>
          <w:b/>
          <w:sz w:val="24"/>
          <w:szCs w:val="24"/>
        </w:rPr>
        <w:t xml:space="preserve"> </w:t>
      </w:r>
      <w:r>
        <w:rPr>
          <w:b/>
          <w:sz w:val="24"/>
          <w:szCs w:val="24"/>
        </w:rPr>
        <w:t>6,2 GÜN KALDI, 571</w:t>
      </w:r>
      <w:r w:rsidRPr="003C15BB">
        <w:rPr>
          <w:b/>
          <w:sz w:val="24"/>
          <w:szCs w:val="24"/>
        </w:rPr>
        <w:t xml:space="preserve"> DOLAR HARCADI</w:t>
      </w:r>
    </w:p>
    <w:p w:rsidR="004514B4" w:rsidRDefault="004514B4" w:rsidP="004514B4">
      <w:pPr>
        <w:jc w:val="both"/>
        <w:rPr>
          <w:sz w:val="24"/>
          <w:szCs w:val="24"/>
        </w:rPr>
      </w:pPr>
      <w:r>
        <w:rPr>
          <w:sz w:val="24"/>
          <w:szCs w:val="24"/>
        </w:rPr>
        <w:t>Türkiye İstatistik Kurumu (TÜİK) tarafından açıklanan verilere göre Rus turistler 2012 yılında Türkiye’de ortalama 6,4 gün geçirirken 2013 yılında bu süre 6,2 güne geriledi. Kalınan sürede yaşanan gerilemeye karşın Rus turistlerin harcamalarında artış kaydedildi. TÜİK verilerine göre; 2012 yılında Türkiye’de ortalama 553 dolarlık harcama gerçekleştiren Rus turistlerin harcaması 2013 yılında yüzde 3,25 oranında artarak 571 dolara çıktı. Rus vatandaşlarının ülkemize bıraktıkları toplam turizm geliri ise 2 milyar 440 milyon 25 bin dolar oldu.</w:t>
      </w:r>
    </w:p>
    <w:p w:rsidR="00567C2F" w:rsidRPr="00567C2F" w:rsidRDefault="00567C2F" w:rsidP="004514B4">
      <w:pPr>
        <w:jc w:val="both"/>
        <w:rPr>
          <w:b/>
          <w:sz w:val="24"/>
          <w:szCs w:val="24"/>
        </w:rPr>
      </w:pPr>
      <w:r w:rsidRPr="00567C2F">
        <w:rPr>
          <w:b/>
          <w:sz w:val="24"/>
          <w:szCs w:val="24"/>
        </w:rPr>
        <w:t>ANTALYA AÇIK ARA ÖNDE</w:t>
      </w:r>
    </w:p>
    <w:p w:rsidR="00567C2F" w:rsidRDefault="00567C2F" w:rsidP="004514B4">
      <w:pPr>
        <w:jc w:val="both"/>
        <w:rPr>
          <w:sz w:val="24"/>
          <w:szCs w:val="24"/>
        </w:rPr>
      </w:pPr>
      <w:r>
        <w:rPr>
          <w:sz w:val="24"/>
          <w:szCs w:val="24"/>
        </w:rPr>
        <w:t>Rus vatandaşlarının Türkiye’de en çok tercih ettikleri destinasyon Antalya oldu. Kültür ve Turizm Bakanlığı verilerine göre; Türkiye’ye gelen her 100 Rus turistten 78’i tatilini Antalya’da geçirmeyi tercih ederken Antalya’yı İstanbul ve Muğla izledi.</w:t>
      </w:r>
    </w:p>
    <w:tbl>
      <w:tblPr>
        <w:tblStyle w:val="TabloKlavuzu"/>
        <w:tblW w:w="0" w:type="auto"/>
        <w:tblLook w:val="04A0" w:firstRow="1" w:lastRow="0" w:firstColumn="1" w:lastColumn="0" w:noHBand="0" w:noVBand="1"/>
      </w:tblPr>
      <w:tblGrid>
        <w:gridCol w:w="2332"/>
        <w:gridCol w:w="4326"/>
      </w:tblGrid>
      <w:tr w:rsidR="00567C2F" w:rsidTr="00567C2F">
        <w:trPr>
          <w:trHeight w:val="313"/>
        </w:trPr>
        <w:tc>
          <w:tcPr>
            <w:tcW w:w="6658" w:type="dxa"/>
            <w:gridSpan w:val="2"/>
            <w:shd w:val="clear" w:color="auto" w:fill="943634" w:themeFill="accent2" w:themeFillShade="BF"/>
          </w:tcPr>
          <w:p w:rsidR="00567C2F" w:rsidRPr="00567C2F" w:rsidRDefault="00567C2F" w:rsidP="00567C2F">
            <w:pPr>
              <w:jc w:val="center"/>
              <w:rPr>
                <w:b/>
                <w:color w:val="FFFFFF" w:themeColor="background1"/>
                <w:sz w:val="24"/>
                <w:szCs w:val="24"/>
              </w:rPr>
            </w:pPr>
            <w:r w:rsidRPr="00567C2F">
              <w:rPr>
                <w:b/>
                <w:color w:val="FFFFFF" w:themeColor="background1"/>
                <w:sz w:val="24"/>
                <w:szCs w:val="24"/>
              </w:rPr>
              <w:t>RUS TURİSTLERİN TÜRKİYE’DE TERCİH ETTİKLERİ DESTİNASYON</w:t>
            </w:r>
          </w:p>
        </w:tc>
      </w:tr>
      <w:tr w:rsidR="00567C2F" w:rsidTr="00FF2B76">
        <w:trPr>
          <w:trHeight w:val="313"/>
        </w:trPr>
        <w:tc>
          <w:tcPr>
            <w:tcW w:w="2332" w:type="dxa"/>
            <w:shd w:val="clear" w:color="auto" w:fill="D99594" w:themeFill="accent2" w:themeFillTint="99"/>
          </w:tcPr>
          <w:p w:rsidR="00567C2F" w:rsidRPr="00567C2F" w:rsidRDefault="00567C2F" w:rsidP="004514B4">
            <w:pPr>
              <w:jc w:val="both"/>
              <w:rPr>
                <w:b/>
                <w:sz w:val="24"/>
                <w:szCs w:val="24"/>
              </w:rPr>
            </w:pPr>
            <w:r w:rsidRPr="00567C2F">
              <w:rPr>
                <w:b/>
                <w:sz w:val="24"/>
                <w:szCs w:val="24"/>
              </w:rPr>
              <w:t>ANTALYA</w:t>
            </w:r>
          </w:p>
        </w:tc>
        <w:tc>
          <w:tcPr>
            <w:tcW w:w="4326" w:type="dxa"/>
            <w:shd w:val="clear" w:color="auto" w:fill="E5B8B7" w:themeFill="accent2" w:themeFillTint="66"/>
          </w:tcPr>
          <w:p w:rsidR="00567C2F" w:rsidRPr="00567C2F" w:rsidRDefault="00567C2F" w:rsidP="004514B4">
            <w:pPr>
              <w:jc w:val="both"/>
              <w:rPr>
                <w:b/>
                <w:sz w:val="24"/>
                <w:szCs w:val="24"/>
              </w:rPr>
            </w:pPr>
            <w:r w:rsidRPr="00567C2F">
              <w:rPr>
                <w:b/>
                <w:sz w:val="24"/>
                <w:szCs w:val="24"/>
              </w:rPr>
              <w:t>% 78,1</w:t>
            </w:r>
          </w:p>
        </w:tc>
      </w:tr>
      <w:tr w:rsidR="00567C2F" w:rsidTr="00FF2B76">
        <w:trPr>
          <w:trHeight w:val="313"/>
        </w:trPr>
        <w:tc>
          <w:tcPr>
            <w:tcW w:w="2332" w:type="dxa"/>
            <w:shd w:val="clear" w:color="auto" w:fill="D99594" w:themeFill="accent2" w:themeFillTint="99"/>
          </w:tcPr>
          <w:p w:rsidR="00567C2F" w:rsidRPr="00567C2F" w:rsidRDefault="00567C2F" w:rsidP="00FF2B76">
            <w:pPr>
              <w:jc w:val="both"/>
              <w:rPr>
                <w:b/>
                <w:sz w:val="24"/>
                <w:szCs w:val="24"/>
              </w:rPr>
            </w:pPr>
            <w:r w:rsidRPr="00567C2F">
              <w:rPr>
                <w:b/>
                <w:sz w:val="24"/>
                <w:szCs w:val="24"/>
              </w:rPr>
              <w:t>İSTANBUL</w:t>
            </w:r>
          </w:p>
        </w:tc>
        <w:tc>
          <w:tcPr>
            <w:tcW w:w="4326" w:type="dxa"/>
            <w:shd w:val="clear" w:color="auto" w:fill="E5B8B7" w:themeFill="accent2" w:themeFillTint="66"/>
          </w:tcPr>
          <w:p w:rsidR="00567C2F" w:rsidRPr="00567C2F" w:rsidRDefault="00567C2F" w:rsidP="004514B4">
            <w:pPr>
              <w:jc w:val="both"/>
              <w:rPr>
                <w:b/>
                <w:sz w:val="24"/>
                <w:szCs w:val="24"/>
              </w:rPr>
            </w:pPr>
            <w:r w:rsidRPr="00567C2F">
              <w:rPr>
                <w:b/>
                <w:sz w:val="24"/>
                <w:szCs w:val="24"/>
              </w:rPr>
              <w:t>% 13,4</w:t>
            </w:r>
          </w:p>
        </w:tc>
      </w:tr>
      <w:tr w:rsidR="00567C2F" w:rsidTr="00FF2B76">
        <w:trPr>
          <w:trHeight w:val="313"/>
        </w:trPr>
        <w:tc>
          <w:tcPr>
            <w:tcW w:w="2332" w:type="dxa"/>
            <w:shd w:val="clear" w:color="auto" w:fill="D99594" w:themeFill="accent2" w:themeFillTint="99"/>
          </w:tcPr>
          <w:p w:rsidR="00567C2F" w:rsidRPr="00567C2F" w:rsidRDefault="00567C2F" w:rsidP="004514B4">
            <w:pPr>
              <w:jc w:val="both"/>
              <w:rPr>
                <w:b/>
                <w:sz w:val="24"/>
                <w:szCs w:val="24"/>
              </w:rPr>
            </w:pPr>
            <w:r w:rsidRPr="00567C2F">
              <w:rPr>
                <w:b/>
                <w:sz w:val="24"/>
                <w:szCs w:val="24"/>
              </w:rPr>
              <w:t>MUĞLA</w:t>
            </w:r>
          </w:p>
        </w:tc>
        <w:tc>
          <w:tcPr>
            <w:tcW w:w="4326" w:type="dxa"/>
            <w:shd w:val="clear" w:color="auto" w:fill="E5B8B7" w:themeFill="accent2" w:themeFillTint="66"/>
          </w:tcPr>
          <w:p w:rsidR="00567C2F" w:rsidRPr="00567C2F" w:rsidRDefault="00567C2F" w:rsidP="004514B4">
            <w:pPr>
              <w:jc w:val="both"/>
              <w:rPr>
                <w:b/>
                <w:sz w:val="24"/>
                <w:szCs w:val="24"/>
              </w:rPr>
            </w:pPr>
            <w:r w:rsidRPr="00567C2F">
              <w:rPr>
                <w:b/>
                <w:sz w:val="24"/>
                <w:szCs w:val="24"/>
              </w:rPr>
              <w:t>% 5,4</w:t>
            </w:r>
          </w:p>
        </w:tc>
      </w:tr>
      <w:tr w:rsidR="00567C2F" w:rsidTr="00FF2B76">
        <w:trPr>
          <w:trHeight w:val="330"/>
        </w:trPr>
        <w:tc>
          <w:tcPr>
            <w:tcW w:w="2332" w:type="dxa"/>
            <w:shd w:val="clear" w:color="auto" w:fill="D99594" w:themeFill="accent2" w:themeFillTint="99"/>
          </w:tcPr>
          <w:p w:rsidR="00567C2F" w:rsidRPr="00567C2F" w:rsidRDefault="00567C2F" w:rsidP="004514B4">
            <w:pPr>
              <w:jc w:val="both"/>
              <w:rPr>
                <w:b/>
                <w:sz w:val="24"/>
                <w:szCs w:val="24"/>
              </w:rPr>
            </w:pPr>
            <w:r w:rsidRPr="00567C2F">
              <w:rPr>
                <w:b/>
                <w:sz w:val="24"/>
                <w:szCs w:val="24"/>
              </w:rPr>
              <w:t>İZMİR</w:t>
            </w:r>
          </w:p>
        </w:tc>
        <w:tc>
          <w:tcPr>
            <w:tcW w:w="4326" w:type="dxa"/>
            <w:shd w:val="clear" w:color="auto" w:fill="E5B8B7" w:themeFill="accent2" w:themeFillTint="66"/>
          </w:tcPr>
          <w:p w:rsidR="00567C2F" w:rsidRPr="00567C2F" w:rsidRDefault="00567C2F" w:rsidP="004514B4">
            <w:pPr>
              <w:jc w:val="both"/>
              <w:rPr>
                <w:b/>
                <w:sz w:val="24"/>
                <w:szCs w:val="24"/>
              </w:rPr>
            </w:pPr>
            <w:r w:rsidRPr="00567C2F">
              <w:rPr>
                <w:b/>
                <w:sz w:val="24"/>
                <w:szCs w:val="24"/>
              </w:rPr>
              <w:t>% 0,8</w:t>
            </w:r>
          </w:p>
        </w:tc>
      </w:tr>
      <w:tr w:rsidR="00567C2F" w:rsidTr="00FF2B76">
        <w:trPr>
          <w:trHeight w:val="313"/>
        </w:trPr>
        <w:tc>
          <w:tcPr>
            <w:tcW w:w="2332" w:type="dxa"/>
            <w:shd w:val="clear" w:color="auto" w:fill="D99594" w:themeFill="accent2" w:themeFillTint="99"/>
          </w:tcPr>
          <w:p w:rsidR="00567C2F" w:rsidRPr="00567C2F" w:rsidRDefault="00567C2F" w:rsidP="004514B4">
            <w:pPr>
              <w:jc w:val="both"/>
              <w:rPr>
                <w:b/>
                <w:sz w:val="24"/>
                <w:szCs w:val="24"/>
              </w:rPr>
            </w:pPr>
            <w:r w:rsidRPr="00567C2F">
              <w:rPr>
                <w:b/>
                <w:sz w:val="24"/>
                <w:szCs w:val="24"/>
              </w:rPr>
              <w:t>DİĞER</w:t>
            </w:r>
          </w:p>
        </w:tc>
        <w:tc>
          <w:tcPr>
            <w:tcW w:w="4326" w:type="dxa"/>
            <w:shd w:val="clear" w:color="auto" w:fill="E5B8B7" w:themeFill="accent2" w:themeFillTint="66"/>
          </w:tcPr>
          <w:p w:rsidR="00567C2F" w:rsidRPr="00567C2F" w:rsidRDefault="00567C2F" w:rsidP="004514B4">
            <w:pPr>
              <w:jc w:val="both"/>
              <w:rPr>
                <w:b/>
                <w:sz w:val="24"/>
                <w:szCs w:val="24"/>
              </w:rPr>
            </w:pPr>
            <w:r w:rsidRPr="00567C2F">
              <w:rPr>
                <w:b/>
                <w:sz w:val="24"/>
                <w:szCs w:val="24"/>
              </w:rPr>
              <w:t>% 2,3</w:t>
            </w:r>
          </w:p>
        </w:tc>
      </w:tr>
    </w:tbl>
    <w:p w:rsidR="00FF2B76" w:rsidRDefault="00FF2B76" w:rsidP="00FF2B76">
      <w:pPr>
        <w:jc w:val="both"/>
        <w:rPr>
          <w:b/>
          <w:sz w:val="24"/>
          <w:szCs w:val="24"/>
        </w:rPr>
      </w:pPr>
      <w:r>
        <w:rPr>
          <w:sz w:val="16"/>
          <w:szCs w:val="16"/>
        </w:rPr>
        <w:t>* Kaynak: Kültür ve Turizm Bakanlığı</w:t>
      </w:r>
    </w:p>
    <w:p w:rsidR="00D17593" w:rsidRPr="00FF2B76" w:rsidRDefault="00DE2F27" w:rsidP="00340576">
      <w:pPr>
        <w:rPr>
          <w:b/>
          <w:sz w:val="24"/>
          <w:szCs w:val="24"/>
        </w:rPr>
      </w:pPr>
      <w:r w:rsidRPr="00FF2B76">
        <w:rPr>
          <w:b/>
          <w:sz w:val="24"/>
          <w:szCs w:val="24"/>
        </w:rPr>
        <w:lastRenderedPageBreak/>
        <w:t>VİZELER KALK</w:t>
      </w:r>
      <w:r w:rsidR="00FF2B76">
        <w:rPr>
          <w:b/>
          <w:sz w:val="24"/>
          <w:szCs w:val="24"/>
        </w:rPr>
        <w:t xml:space="preserve">TI, </w:t>
      </w:r>
      <w:r w:rsidRPr="00FF2B76">
        <w:rPr>
          <w:b/>
          <w:sz w:val="24"/>
          <w:szCs w:val="24"/>
        </w:rPr>
        <w:t>RUSYA’YA GİDEN TÜRK TURİST SAYISI DÜŞ</w:t>
      </w:r>
      <w:r w:rsidR="00FF2B76">
        <w:rPr>
          <w:b/>
          <w:sz w:val="24"/>
          <w:szCs w:val="24"/>
        </w:rPr>
        <w:t>TÜ</w:t>
      </w:r>
    </w:p>
    <w:p w:rsidR="00FF2B76" w:rsidRDefault="00FF2B76" w:rsidP="00340576">
      <w:pPr>
        <w:rPr>
          <w:sz w:val="24"/>
          <w:szCs w:val="24"/>
        </w:rPr>
      </w:pPr>
      <w:r>
        <w:rPr>
          <w:sz w:val="24"/>
          <w:szCs w:val="24"/>
        </w:rPr>
        <w:t>Türkiye ile Rusya arasında vizeleri karşılıklı olarak kaldıran anlaşma 2010 yılında imzalandı. Karşılıklı vizesiz geçişe olanak tanıyan anlaşmaya rağmen Rusya’ya giden Türk turist sayısında son yıllarda ciddi düşüş yaşandı.</w:t>
      </w:r>
    </w:p>
    <w:tbl>
      <w:tblPr>
        <w:tblW w:w="6820" w:type="dxa"/>
        <w:tblInd w:w="55" w:type="dxa"/>
        <w:tblCellMar>
          <w:left w:w="70" w:type="dxa"/>
          <w:right w:w="70" w:type="dxa"/>
        </w:tblCellMar>
        <w:tblLook w:val="04A0" w:firstRow="1" w:lastRow="0" w:firstColumn="1" w:lastColumn="0" w:noHBand="0" w:noVBand="1"/>
      </w:tblPr>
      <w:tblGrid>
        <w:gridCol w:w="1905"/>
        <w:gridCol w:w="998"/>
        <w:gridCol w:w="997"/>
        <w:gridCol w:w="997"/>
        <w:gridCol w:w="997"/>
        <w:gridCol w:w="926"/>
      </w:tblGrid>
      <w:tr w:rsidR="00FF2B76" w:rsidRPr="00CE79F5" w:rsidTr="00FF2B76">
        <w:trPr>
          <w:trHeight w:val="300"/>
        </w:trPr>
        <w:tc>
          <w:tcPr>
            <w:tcW w:w="6820" w:type="dxa"/>
            <w:gridSpan w:val="6"/>
            <w:vMerge w:val="restart"/>
            <w:tcBorders>
              <w:top w:val="single" w:sz="8" w:space="0" w:color="auto"/>
              <w:left w:val="single" w:sz="8" w:space="0" w:color="auto"/>
              <w:bottom w:val="single" w:sz="4" w:space="0" w:color="000000"/>
              <w:right w:val="single" w:sz="8" w:space="0" w:color="000000"/>
            </w:tcBorders>
            <w:shd w:val="clear" w:color="auto" w:fill="76923C" w:themeFill="accent3" w:themeFillShade="BF"/>
            <w:noWrap/>
            <w:vAlign w:val="center"/>
            <w:hideMark/>
          </w:tcPr>
          <w:p w:rsidR="00FF2B76" w:rsidRPr="00FF2B76" w:rsidRDefault="00FF2B76" w:rsidP="00B020C0">
            <w:pPr>
              <w:spacing w:after="0" w:line="240" w:lineRule="auto"/>
              <w:jc w:val="center"/>
              <w:rPr>
                <w:rFonts w:ascii="Calibri" w:eastAsia="Times New Roman" w:hAnsi="Calibri" w:cs="Times New Roman"/>
                <w:b/>
                <w:bCs/>
                <w:color w:val="FFFFFF" w:themeColor="background1"/>
                <w:lang w:eastAsia="tr-TR"/>
              </w:rPr>
            </w:pPr>
            <w:r w:rsidRPr="00FF2B76">
              <w:rPr>
                <w:rFonts w:ascii="Calibri" w:eastAsia="Times New Roman" w:hAnsi="Calibri" w:cs="Times New Roman"/>
                <w:b/>
                <w:bCs/>
                <w:color w:val="FFFFFF" w:themeColor="background1"/>
                <w:lang w:eastAsia="tr-TR"/>
              </w:rPr>
              <w:t>SON 5 YILDA TÜKİYE'DEN RUSYA'YA GİDEN ZİYARETÇİ SAYISI</w:t>
            </w:r>
          </w:p>
        </w:tc>
      </w:tr>
      <w:tr w:rsidR="00FF2B76" w:rsidRPr="00CE79F5" w:rsidTr="00FF2B76">
        <w:trPr>
          <w:trHeight w:val="300"/>
        </w:trPr>
        <w:tc>
          <w:tcPr>
            <w:tcW w:w="6820" w:type="dxa"/>
            <w:gridSpan w:val="6"/>
            <w:vMerge/>
            <w:tcBorders>
              <w:top w:val="single" w:sz="8" w:space="0" w:color="auto"/>
              <w:left w:val="single" w:sz="8" w:space="0" w:color="auto"/>
              <w:bottom w:val="single" w:sz="4" w:space="0" w:color="000000"/>
              <w:right w:val="single" w:sz="8" w:space="0" w:color="000000"/>
            </w:tcBorders>
            <w:shd w:val="clear" w:color="auto" w:fill="76923C" w:themeFill="accent3" w:themeFillShade="BF"/>
            <w:vAlign w:val="center"/>
            <w:hideMark/>
          </w:tcPr>
          <w:p w:rsidR="00FF2B76" w:rsidRPr="00CE79F5" w:rsidRDefault="00FF2B76" w:rsidP="00B020C0">
            <w:pPr>
              <w:spacing w:after="0" w:line="240" w:lineRule="auto"/>
              <w:rPr>
                <w:rFonts w:ascii="Calibri" w:eastAsia="Times New Roman" w:hAnsi="Calibri" w:cs="Times New Roman"/>
                <w:b/>
                <w:bCs/>
                <w:color w:val="000000"/>
                <w:lang w:eastAsia="tr-TR"/>
              </w:rPr>
            </w:pPr>
          </w:p>
        </w:tc>
      </w:tr>
      <w:tr w:rsidR="00FF2B76" w:rsidRPr="00CE79F5" w:rsidTr="00FF2B76">
        <w:trPr>
          <w:trHeight w:val="300"/>
        </w:trPr>
        <w:tc>
          <w:tcPr>
            <w:tcW w:w="1905" w:type="dxa"/>
            <w:tcBorders>
              <w:top w:val="nil"/>
              <w:left w:val="single" w:sz="8" w:space="0" w:color="auto"/>
              <w:bottom w:val="single" w:sz="4" w:space="0" w:color="auto"/>
              <w:right w:val="single" w:sz="4" w:space="0" w:color="auto"/>
            </w:tcBorders>
            <w:shd w:val="clear" w:color="auto" w:fill="C2D69B" w:themeFill="accent3" w:themeFillTint="99"/>
            <w:noWrap/>
            <w:vAlign w:val="bottom"/>
            <w:hideMark/>
          </w:tcPr>
          <w:p w:rsidR="00FF2B76" w:rsidRPr="00FF2B76" w:rsidRDefault="00FF2B76" w:rsidP="00B020C0">
            <w:pPr>
              <w:spacing w:after="0" w:line="240" w:lineRule="auto"/>
              <w:rPr>
                <w:rFonts w:ascii="Tahoma" w:eastAsia="Times New Roman" w:hAnsi="Tahoma" w:cs="Tahoma"/>
                <w:b/>
                <w:color w:val="000000"/>
                <w:sz w:val="20"/>
                <w:szCs w:val="20"/>
                <w:lang w:eastAsia="tr-TR"/>
              </w:rPr>
            </w:pPr>
            <w:r w:rsidRPr="00FF2B76">
              <w:rPr>
                <w:rFonts w:ascii="Tahoma" w:eastAsia="Times New Roman" w:hAnsi="Tahoma" w:cs="Tahoma"/>
                <w:b/>
                <w:color w:val="000000"/>
                <w:sz w:val="20"/>
                <w:szCs w:val="20"/>
                <w:lang w:eastAsia="tr-TR"/>
              </w:rPr>
              <w:t>Ülke</w:t>
            </w:r>
          </w:p>
        </w:tc>
        <w:tc>
          <w:tcPr>
            <w:tcW w:w="998" w:type="dxa"/>
            <w:tcBorders>
              <w:top w:val="nil"/>
              <w:left w:val="nil"/>
              <w:bottom w:val="single" w:sz="4" w:space="0" w:color="auto"/>
              <w:right w:val="single" w:sz="4" w:space="0" w:color="auto"/>
            </w:tcBorders>
            <w:shd w:val="clear" w:color="auto" w:fill="C2D69B" w:themeFill="accent3" w:themeFillTint="99"/>
            <w:noWrap/>
            <w:vAlign w:val="bottom"/>
            <w:hideMark/>
          </w:tcPr>
          <w:p w:rsidR="00FF2B76" w:rsidRPr="00FF2B76" w:rsidRDefault="00FF2B76" w:rsidP="00B020C0">
            <w:pPr>
              <w:spacing w:after="0" w:line="240" w:lineRule="auto"/>
              <w:jc w:val="right"/>
              <w:rPr>
                <w:rFonts w:ascii="Tahoma" w:eastAsia="Times New Roman" w:hAnsi="Tahoma" w:cs="Tahoma"/>
                <w:b/>
                <w:bCs/>
                <w:color w:val="000000"/>
                <w:sz w:val="20"/>
                <w:szCs w:val="20"/>
                <w:lang w:eastAsia="tr-TR"/>
              </w:rPr>
            </w:pPr>
            <w:r w:rsidRPr="00FF2B76">
              <w:rPr>
                <w:rFonts w:ascii="Tahoma" w:eastAsia="Times New Roman" w:hAnsi="Tahoma" w:cs="Tahoma"/>
                <w:b/>
                <w:bCs/>
                <w:color w:val="000000"/>
                <w:sz w:val="20"/>
                <w:szCs w:val="20"/>
                <w:lang w:eastAsia="tr-TR"/>
              </w:rPr>
              <w:t>2009</w:t>
            </w:r>
          </w:p>
        </w:tc>
        <w:tc>
          <w:tcPr>
            <w:tcW w:w="997" w:type="dxa"/>
            <w:tcBorders>
              <w:top w:val="nil"/>
              <w:left w:val="nil"/>
              <w:bottom w:val="single" w:sz="4" w:space="0" w:color="auto"/>
              <w:right w:val="single" w:sz="4" w:space="0" w:color="auto"/>
            </w:tcBorders>
            <w:shd w:val="clear" w:color="auto" w:fill="C2D69B" w:themeFill="accent3" w:themeFillTint="99"/>
            <w:noWrap/>
            <w:vAlign w:val="bottom"/>
            <w:hideMark/>
          </w:tcPr>
          <w:p w:rsidR="00FF2B76" w:rsidRPr="00FF2B76" w:rsidRDefault="00FF2B76" w:rsidP="00B020C0">
            <w:pPr>
              <w:spacing w:after="0" w:line="240" w:lineRule="auto"/>
              <w:jc w:val="right"/>
              <w:rPr>
                <w:rFonts w:ascii="Tahoma" w:eastAsia="Times New Roman" w:hAnsi="Tahoma" w:cs="Tahoma"/>
                <w:b/>
                <w:bCs/>
                <w:color w:val="000000"/>
                <w:sz w:val="20"/>
                <w:szCs w:val="20"/>
                <w:lang w:eastAsia="tr-TR"/>
              </w:rPr>
            </w:pPr>
            <w:r w:rsidRPr="00FF2B76">
              <w:rPr>
                <w:rFonts w:ascii="Tahoma" w:eastAsia="Times New Roman" w:hAnsi="Tahoma" w:cs="Tahoma"/>
                <w:b/>
                <w:bCs/>
                <w:color w:val="000000"/>
                <w:sz w:val="20"/>
                <w:szCs w:val="20"/>
                <w:lang w:eastAsia="tr-TR"/>
              </w:rPr>
              <w:t>2010</w:t>
            </w:r>
          </w:p>
        </w:tc>
        <w:tc>
          <w:tcPr>
            <w:tcW w:w="997" w:type="dxa"/>
            <w:tcBorders>
              <w:top w:val="nil"/>
              <w:left w:val="nil"/>
              <w:bottom w:val="single" w:sz="4" w:space="0" w:color="auto"/>
              <w:right w:val="single" w:sz="4" w:space="0" w:color="auto"/>
            </w:tcBorders>
            <w:shd w:val="clear" w:color="auto" w:fill="C2D69B" w:themeFill="accent3" w:themeFillTint="99"/>
            <w:noWrap/>
            <w:vAlign w:val="bottom"/>
            <w:hideMark/>
          </w:tcPr>
          <w:p w:rsidR="00FF2B76" w:rsidRPr="00FF2B76" w:rsidRDefault="00FF2B76" w:rsidP="00B020C0">
            <w:pPr>
              <w:spacing w:after="0" w:line="240" w:lineRule="auto"/>
              <w:jc w:val="right"/>
              <w:rPr>
                <w:rFonts w:ascii="Tahoma" w:eastAsia="Times New Roman" w:hAnsi="Tahoma" w:cs="Tahoma"/>
                <w:b/>
                <w:bCs/>
                <w:color w:val="000000"/>
                <w:sz w:val="20"/>
                <w:szCs w:val="20"/>
                <w:lang w:eastAsia="tr-TR"/>
              </w:rPr>
            </w:pPr>
            <w:r w:rsidRPr="00FF2B76">
              <w:rPr>
                <w:rFonts w:ascii="Tahoma" w:eastAsia="Times New Roman" w:hAnsi="Tahoma" w:cs="Tahoma"/>
                <w:b/>
                <w:bCs/>
                <w:color w:val="000000"/>
                <w:sz w:val="20"/>
                <w:szCs w:val="20"/>
                <w:lang w:eastAsia="tr-TR"/>
              </w:rPr>
              <w:t>2011</w:t>
            </w:r>
          </w:p>
        </w:tc>
        <w:tc>
          <w:tcPr>
            <w:tcW w:w="997" w:type="dxa"/>
            <w:tcBorders>
              <w:top w:val="nil"/>
              <w:left w:val="nil"/>
              <w:bottom w:val="single" w:sz="4" w:space="0" w:color="auto"/>
              <w:right w:val="single" w:sz="4" w:space="0" w:color="auto"/>
            </w:tcBorders>
            <w:shd w:val="clear" w:color="auto" w:fill="C2D69B" w:themeFill="accent3" w:themeFillTint="99"/>
            <w:noWrap/>
            <w:vAlign w:val="bottom"/>
            <w:hideMark/>
          </w:tcPr>
          <w:p w:rsidR="00FF2B76" w:rsidRPr="00FF2B76" w:rsidRDefault="00FF2B76" w:rsidP="00B020C0">
            <w:pPr>
              <w:spacing w:after="0" w:line="240" w:lineRule="auto"/>
              <w:jc w:val="right"/>
              <w:rPr>
                <w:rFonts w:ascii="Tahoma" w:eastAsia="Times New Roman" w:hAnsi="Tahoma" w:cs="Tahoma"/>
                <w:b/>
                <w:bCs/>
                <w:color w:val="000000"/>
                <w:sz w:val="20"/>
                <w:szCs w:val="20"/>
                <w:lang w:eastAsia="tr-TR"/>
              </w:rPr>
            </w:pPr>
            <w:r w:rsidRPr="00FF2B76">
              <w:rPr>
                <w:rFonts w:ascii="Tahoma" w:eastAsia="Times New Roman" w:hAnsi="Tahoma" w:cs="Tahoma"/>
                <w:b/>
                <w:bCs/>
                <w:color w:val="000000"/>
                <w:sz w:val="20"/>
                <w:szCs w:val="20"/>
                <w:lang w:eastAsia="tr-TR"/>
              </w:rPr>
              <w:t>2012</w:t>
            </w:r>
          </w:p>
        </w:tc>
        <w:tc>
          <w:tcPr>
            <w:tcW w:w="926" w:type="dxa"/>
            <w:tcBorders>
              <w:top w:val="nil"/>
              <w:left w:val="nil"/>
              <w:bottom w:val="single" w:sz="4" w:space="0" w:color="auto"/>
              <w:right w:val="single" w:sz="8" w:space="0" w:color="auto"/>
            </w:tcBorders>
            <w:shd w:val="clear" w:color="auto" w:fill="C2D69B" w:themeFill="accent3" w:themeFillTint="99"/>
            <w:noWrap/>
            <w:vAlign w:val="bottom"/>
            <w:hideMark/>
          </w:tcPr>
          <w:p w:rsidR="00FF2B76" w:rsidRPr="00FF2B76" w:rsidRDefault="00FF2B76" w:rsidP="00B020C0">
            <w:pPr>
              <w:spacing w:after="0" w:line="240" w:lineRule="auto"/>
              <w:jc w:val="right"/>
              <w:rPr>
                <w:rFonts w:ascii="Tahoma" w:eastAsia="Times New Roman" w:hAnsi="Tahoma" w:cs="Tahoma"/>
                <w:b/>
                <w:bCs/>
                <w:color w:val="000000"/>
                <w:sz w:val="20"/>
                <w:szCs w:val="20"/>
                <w:lang w:eastAsia="tr-TR"/>
              </w:rPr>
            </w:pPr>
            <w:r w:rsidRPr="00FF2B76">
              <w:rPr>
                <w:rFonts w:ascii="Tahoma" w:eastAsia="Times New Roman" w:hAnsi="Tahoma" w:cs="Tahoma"/>
                <w:b/>
                <w:bCs/>
                <w:color w:val="000000"/>
                <w:sz w:val="20"/>
                <w:szCs w:val="20"/>
                <w:lang w:eastAsia="tr-TR"/>
              </w:rPr>
              <w:t>2013</w:t>
            </w:r>
          </w:p>
        </w:tc>
      </w:tr>
      <w:tr w:rsidR="00FF2B76" w:rsidRPr="00CE79F5" w:rsidTr="00FF2B76">
        <w:trPr>
          <w:trHeight w:val="540"/>
        </w:trPr>
        <w:tc>
          <w:tcPr>
            <w:tcW w:w="1905" w:type="dxa"/>
            <w:tcBorders>
              <w:top w:val="nil"/>
              <w:left w:val="single" w:sz="8" w:space="0" w:color="auto"/>
              <w:bottom w:val="single" w:sz="8" w:space="0" w:color="auto"/>
              <w:right w:val="single" w:sz="4" w:space="0" w:color="auto"/>
            </w:tcBorders>
            <w:shd w:val="clear" w:color="auto" w:fill="D6E3BC" w:themeFill="accent3" w:themeFillTint="66"/>
            <w:vAlign w:val="bottom"/>
            <w:hideMark/>
          </w:tcPr>
          <w:p w:rsidR="00FF2B76" w:rsidRPr="00CE79F5" w:rsidRDefault="00FF2B76" w:rsidP="00B020C0">
            <w:pPr>
              <w:spacing w:after="0" w:line="240" w:lineRule="auto"/>
              <w:rPr>
                <w:rFonts w:ascii="Tahoma" w:eastAsia="Times New Roman" w:hAnsi="Tahoma" w:cs="Tahoma"/>
                <w:b/>
                <w:bCs/>
                <w:sz w:val="20"/>
                <w:szCs w:val="20"/>
                <w:lang w:eastAsia="tr-TR"/>
              </w:rPr>
            </w:pPr>
            <w:r w:rsidRPr="00CE79F5">
              <w:rPr>
                <w:rFonts w:ascii="Tahoma" w:eastAsia="Times New Roman" w:hAnsi="Tahoma" w:cs="Tahoma"/>
                <w:b/>
                <w:bCs/>
                <w:sz w:val="20"/>
                <w:szCs w:val="20"/>
                <w:lang w:eastAsia="tr-TR"/>
              </w:rPr>
              <w:t xml:space="preserve">Rusya Federasyonu </w:t>
            </w:r>
          </w:p>
        </w:tc>
        <w:tc>
          <w:tcPr>
            <w:tcW w:w="998" w:type="dxa"/>
            <w:tcBorders>
              <w:top w:val="nil"/>
              <w:left w:val="nil"/>
              <w:bottom w:val="single" w:sz="8" w:space="0" w:color="auto"/>
              <w:right w:val="single" w:sz="4" w:space="0" w:color="auto"/>
            </w:tcBorders>
            <w:shd w:val="clear" w:color="auto" w:fill="D6E3BC" w:themeFill="accent3" w:themeFillTint="66"/>
            <w:noWrap/>
            <w:vAlign w:val="bottom"/>
            <w:hideMark/>
          </w:tcPr>
          <w:p w:rsidR="00FF2B76" w:rsidRPr="00CE79F5" w:rsidRDefault="00FF2B76" w:rsidP="00B020C0">
            <w:pPr>
              <w:spacing w:after="0" w:line="240" w:lineRule="auto"/>
              <w:jc w:val="right"/>
              <w:rPr>
                <w:rFonts w:ascii="Tahoma" w:eastAsia="Times New Roman" w:hAnsi="Tahoma" w:cs="Tahoma"/>
                <w:color w:val="000000"/>
                <w:sz w:val="20"/>
                <w:szCs w:val="20"/>
                <w:lang w:eastAsia="tr-TR"/>
              </w:rPr>
            </w:pPr>
            <w:r w:rsidRPr="00CE79F5">
              <w:rPr>
                <w:rFonts w:ascii="Tahoma" w:eastAsia="Times New Roman" w:hAnsi="Tahoma" w:cs="Tahoma"/>
                <w:color w:val="000000"/>
                <w:sz w:val="20"/>
                <w:szCs w:val="20"/>
                <w:lang w:eastAsia="tr-TR"/>
              </w:rPr>
              <w:t xml:space="preserve">  167 871</w:t>
            </w:r>
          </w:p>
        </w:tc>
        <w:tc>
          <w:tcPr>
            <w:tcW w:w="997" w:type="dxa"/>
            <w:tcBorders>
              <w:top w:val="nil"/>
              <w:left w:val="nil"/>
              <w:bottom w:val="single" w:sz="8" w:space="0" w:color="auto"/>
              <w:right w:val="single" w:sz="4" w:space="0" w:color="auto"/>
            </w:tcBorders>
            <w:shd w:val="clear" w:color="auto" w:fill="D6E3BC" w:themeFill="accent3" w:themeFillTint="66"/>
            <w:noWrap/>
            <w:vAlign w:val="bottom"/>
            <w:hideMark/>
          </w:tcPr>
          <w:p w:rsidR="00FF2B76" w:rsidRPr="00CE79F5" w:rsidRDefault="00FF2B76" w:rsidP="00B020C0">
            <w:pPr>
              <w:spacing w:after="0" w:line="240" w:lineRule="auto"/>
              <w:jc w:val="right"/>
              <w:rPr>
                <w:rFonts w:ascii="Tahoma" w:eastAsia="Times New Roman" w:hAnsi="Tahoma" w:cs="Tahoma"/>
                <w:color w:val="000000"/>
                <w:sz w:val="20"/>
                <w:szCs w:val="20"/>
                <w:lang w:eastAsia="tr-TR"/>
              </w:rPr>
            </w:pPr>
            <w:r w:rsidRPr="00CE79F5">
              <w:rPr>
                <w:rFonts w:ascii="Tahoma" w:eastAsia="Times New Roman" w:hAnsi="Tahoma" w:cs="Tahoma"/>
                <w:color w:val="000000"/>
                <w:sz w:val="20"/>
                <w:szCs w:val="20"/>
                <w:lang w:eastAsia="tr-TR"/>
              </w:rPr>
              <w:t xml:space="preserve">  189 827</w:t>
            </w:r>
          </w:p>
        </w:tc>
        <w:tc>
          <w:tcPr>
            <w:tcW w:w="997" w:type="dxa"/>
            <w:tcBorders>
              <w:top w:val="nil"/>
              <w:left w:val="nil"/>
              <w:bottom w:val="single" w:sz="8" w:space="0" w:color="auto"/>
              <w:right w:val="single" w:sz="4" w:space="0" w:color="auto"/>
            </w:tcBorders>
            <w:shd w:val="clear" w:color="auto" w:fill="D6E3BC" w:themeFill="accent3" w:themeFillTint="66"/>
            <w:noWrap/>
            <w:vAlign w:val="bottom"/>
            <w:hideMark/>
          </w:tcPr>
          <w:p w:rsidR="00FF2B76" w:rsidRPr="00CE79F5" w:rsidRDefault="00FF2B76" w:rsidP="00B020C0">
            <w:pPr>
              <w:spacing w:after="0" w:line="240" w:lineRule="auto"/>
              <w:jc w:val="right"/>
              <w:rPr>
                <w:rFonts w:ascii="Tahoma" w:eastAsia="Times New Roman" w:hAnsi="Tahoma" w:cs="Tahoma"/>
                <w:color w:val="000000"/>
                <w:sz w:val="20"/>
                <w:szCs w:val="20"/>
                <w:lang w:eastAsia="tr-TR"/>
              </w:rPr>
            </w:pPr>
            <w:r w:rsidRPr="00CE79F5">
              <w:rPr>
                <w:rFonts w:ascii="Tahoma" w:eastAsia="Times New Roman" w:hAnsi="Tahoma" w:cs="Tahoma"/>
                <w:color w:val="000000"/>
                <w:sz w:val="20"/>
                <w:szCs w:val="20"/>
                <w:lang w:eastAsia="tr-TR"/>
              </w:rPr>
              <w:t xml:space="preserve">  118 563</w:t>
            </w:r>
          </w:p>
        </w:tc>
        <w:tc>
          <w:tcPr>
            <w:tcW w:w="997" w:type="dxa"/>
            <w:tcBorders>
              <w:top w:val="nil"/>
              <w:left w:val="nil"/>
              <w:bottom w:val="single" w:sz="8" w:space="0" w:color="auto"/>
              <w:right w:val="single" w:sz="4" w:space="0" w:color="auto"/>
            </w:tcBorders>
            <w:shd w:val="clear" w:color="auto" w:fill="D6E3BC" w:themeFill="accent3" w:themeFillTint="66"/>
            <w:noWrap/>
            <w:vAlign w:val="bottom"/>
            <w:hideMark/>
          </w:tcPr>
          <w:p w:rsidR="00FF2B76" w:rsidRPr="00CE79F5" w:rsidRDefault="00FF2B76" w:rsidP="00B020C0">
            <w:pPr>
              <w:spacing w:after="0" w:line="240" w:lineRule="auto"/>
              <w:jc w:val="right"/>
              <w:rPr>
                <w:rFonts w:ascii="Tahoma" w:eastAsia="Times New Roman" w:hAnsi="Tahoma" w:cs="Tahoma"/>
                <w:color w:val="000000"/>
                <w:sz w:val="20"/>
                <w:szCs w:val="20"/>
                <w:lang w:eastAsia="tr-TR"/>
              </w:rPr>
            </w:pPr>
            <w:r w:rsidRPr="00CE79F5">
              <w:rPr>
                <w:rFonts w:ascii="Tahoma" w:eastAsia="Times New Roman" w:hAnsi="Tahoma" w:cs="Tahoma"/>
                <w:color w:val="000000"/>
                <w:sz w:val="20"/>
                <w:szCs w:val="20"/>
                <w:lang w:eastAsia="tr-TR"/>
              </w:rPr>
              <w:t xml:space="preserve">  110 359</w:t>
            </w:r>
          </w:p>
        </w:tc>
        <w:tc>
          <w:tcPr>
            <w:tcW w:w="926" w:type="dxa"/>
            <w:tcBorders>
              <w:top w:val="nil"/>
              <w:left w:val="nil"/>
              <w:bottom w:val="single" w:sz="8" w:space="0" w:color="auto"/>
              <w:right w:val="single" w:sz="8" w:space="0" w:color="auto"/>
            </w:tcBorders>
            <w:shd w:val="clear" w:color="auto" w:fill="D6E3BC" w:themeFill="accent3" w:themeFillTint="66"/>
            <w:noWrap/>
            <w:vAlign w:val="bottom"/>
            <w:hideMark/>
          </w:tcPr>
          <w:p w:rsidR="00FF2B76" w:rsidRPr="00CE79F5" w:rsidRDefault="00FF2B76" w:rsidP="00B020C0">
            <w:pPr>
              <w:spacing w:after="0" w:line="240" w:lineRule="auto"/>
              <w:rPr>
                <w:rFonts w:ascii="Tahoma" w:eastAsia="Times New Roman" w:hAnsi="Tahoma" w:cs="Tahoma"/>
                <w:color w:val="000000"/>
                <w:sz w:val="20"/>
                <w:szCs w:val="20"/>
                <w:lang w:eastAsia="tr-TR"/>
              </w:rPr>
            </w:pPr>
            <w:r w:rsidRPr="00CE79F5">
              <w:rPr>
                <w:rFonts w:ascii="Tahoma" w:eastAsia="Times New Roman" w:hAnsi="Tahoma" w:cs="Tahoma"/>
                <w:color w:val="000000"/>
                <w:sz w:val="20"/>
                <w:szCs w:val="20"/>
                <w:lang w:eastAsia="tr-TR"/>
              </w:rPr>
              <w:t xml:space="preserve"> 114 966 </w:t>
            </w:r>
          </w:p>
        </w:tc>
      </w:tr>
    </w:tbl>
    <w:p w:rsidR="00FF2B76" w:rsidRDefault="00FF2B76" w:rsidP="00FF2B76">
      <w:pPr>
        <w:jc w:val="both"/>
        <w:rPr>
          <w:b/>
          <w:sz w:val="24"/>
          <w:szCs w:val="24"/>
        </w:rPr>
      </w:pPr>
      <w:r>
        <w:rPr>
          <w:sz w:val="16"/>
          <w:szCs w:val="16"/>
        </w:rPr>
        <w:t xml:space="preserve">* Kaynak: </w:t>
      </w:r>
      <w:r w:rsidRPr="00D656A3">
        <w:rPr>
          <w:sz w:val="16"/>
          <w:szCs w:val="16"/>
        </w:rPr>
        <w:t>T</w:t>
      </w:r>
      <w:r>
        <w:rPr>
          <w:sz w:val="16"/>
          <w:szCs w:val="16"/>
        </w:rPr>
        <w:t>ÜİK</w:t>
      </w:r>
    </w:p>
    <w:p w:rsidR="00FF2B76" w:rsidRDefault="00FF2B76" w:rsidP="00DE2F27">
      <w:pPr>
        <w:pStyle w:val="Default"/>
        <w:jc w:val="both"/>
        <w:rPr>
          <w:b/>
        </w:rPr>
      </w:pPr>
    </w:p>
    <w:p w:rsidR="004514B4" w:rsidRPr="00AE26C9" w:rsidRDefault="00AE26C9" w:rsidP="00340576">
      <w:pPr>
        <w:rPr>
          <w:b/>
          <w:sz w:val="24"/>
          <w:szCs w:val="24"/>
        </w:rPr>
      </w:pPr>
      <w:r w:rsidRPr="00AE26C9">
        <w:rPr>
          <w:b/>
          <w:sz w:val="24"/>
          <w:szCs w:val="24"/>
        </w:rPr>
        <w:t>MITT MOSKOVA FUARI</w:t>
      </w:r>
    </w:p>
    <w:p w:rsidR="00A17FB9" w:rsidRDefault="004E6765" w:rsidP="004E6765">
      <w:pPr>
        <w:rPr>
          <w:sz w:val="24"/>
          <w:szCs w:val="24"/>
        </w:rPr>
      </w:pPr>
      <w:r>
        <w:rPr>
          <w:sz w:val="24"/>
          <w:szCs w:val="24"/>
        </w:rPr>
        <w:t>Dünyanın en önemli turizm fuarları arasında gösterilen MITT - Moskova Uluslararası Seyahat ve Turizm Fuarı bu yıl 19-22 Mart tarihleri arasında ziyaretçilerini ağırladı.</w:t>
      </w:r>
      <w:r w:rsidR="00A17FB9">
        <w:rPr>
          <w:sz w:val="24"/>
          <w:szCs w:val="24"/>
        </w:rPr>
        <w:t xml:space="preserve"> </w:t>
      </w:r>
      <w:r w:rsidR="00F83A99" w:rsidRPr="00AE26C9">
        <w:rPr>
          <w:sz w:val="24"/>
          <w:szCs w:val="24"/>
        </w:rPr>
        <w:t xml:space="preserve">ITE Group tarafından </w:t>
      </w:r>
      <w:r w:rsidR="00F83A99">
        <w:rPr>
          <w:sz w:val="24"/>
          <w:szCs w:val="24"/>
        </w:rPr>
        <w:t xml:space="preserve">düzenlenen </w:t>
      </w:r>
      <w:r w:rsidR="00A17FB9">
        <w:rPr>
          <w:sz w:val="24"/>
          <w:szCs w:val="24"/>
        </w:rPr>
        <w:t>fuar b</w:t>
      </w:r>
      <w:r>
        <w:rPr>
          <w:sz w:val="24"/>
          <w:szCs w:val="24"/>
        </w:rPr>
        <w:t xml:space="preserve">u yıl 21’inci kez </w:t>
      </w:r>
      <w:r w:rsidR="00A17FB9">
        <w:rPr>
          <w:sz w:val="24"/>
          <w:szCs w:val="24"/>
        </w:rPr>
        <w:t xml:space="preserve">turizmcilerle buluşurken </w:t>
      </w:r>
      <w:r>
        <w:rPr>
          <w:sz w:val="24"/>
          <w:szCs w:val="24"/>
        </w:rPr>
        <w:t>Türkiye</w:t>
      </w:r>
      <w:r w:rsidR="00A61497">
        <w:rPr>
          <w:sz w:val="24"/>
          <w:szCs w:val="24"/>
        </w:rPr>
        <w:t xml:space="preserve"> standı </w:t>
      </w:r>
      <w:r w:rsidR="00AB5C2B">
        <w:rPr>
          <w:sz w:val="24"/>
          <w:szCs w:val="24"/>
        </w:rPr>
        <w:t>1254 metrekare</w:t>
      </w:r>
      <w:r w:rsidR="00A61497">
        <w:rPr>
          <w:sz w:val="24"/>
          <w:szCs w:val="24"/>
        </w:rPr>
        <w:t xml:space="preserve">lik büyüklüğü ile </w:t>
      </w:r>
      <w:r w:rsidR="00705A70">
        <w:rPr>
          <w:sz w:val="24"/>
          <w:szCs w:val="24"/>
        </w:rPr>
        <w:t xml:space="preserve">ülke stantları içerisinde </w:t>
      </w:r>
      <w:r w:rsidR="00A61497">
        <w:rPr>
          <w:sz w:val="24"/>
          <w:szCs w:val="24"/>
        </w:rPr>
        <w:t>en büyüğü</w:t>
      </w:r>
      <w:r w:rsidR="00776541">
        <w:rPr>
          <w:sz w:val="24"/>
          <w:szCs w:val="24"/>
        </w:rPr>
        <w:t xml:space="preserve"> oldu.</w:t>
      </w:r>
    </w:p>
    <w:p w:rsidR="00776541" w:rsidRDefault="00776541" w:rsidP="004E6765">
      <w:pPr>
        <w:rPr>
          <w:sz w:val="24"/>
          <w:szCs w:val="24"/>
        </w:rPr>
      </w:pPr>
      <w:r>
        <w:rPr>
          <w:noProof/>
          <w:sz w:val="24"/>
          <w:szCs w:val="24"/>
          <w:lang w:eastAsia="tr-TR"/>
        </w:rPr>
        <w:drawing>
          <wp:inline distT="0" distB="0" distL="0" distR="0">
            <wp:extent cx="2836800" cy="2127123"/>
            <wp:effectExtent l="0" t="0" r="1905" b="6985"/>
            <wp:docPr id="5" name="Resim 5" descr="C:\Users\fatih.gonul\Desktop\mitt moskova foto\CAM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gonul\Desktop\mitt moskova foto\CAM00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800" cy="2127123"/>
                    </a:xfrm>
                    <a:prstGeom prst="rect">
                      <a:avLst/>
                    </a:prstGeom>
                    <a:noFill/>
                    <a:ln>
                      <a:noFill/>
                    </a:ln>
                  </pic:spPr>
                </pic:pic>
              </a:graphicData>
            </a:graphic>
          </wp:inline>
        </w:drawing>
      </w:r>
      <w:r w:rsidRPr="007765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tr-TR"/>
        </w:rPr>
        <w:drawing>
          <wp:inline distT="0" distB="0" distL="0" distR="0">
            <wp:extent cx="2838091" cy="2128091"/>
            <wp:effectExtent l="0" t="0" r="635" b="5715"/>
            <wp:docPr id="6" name="Resim 6" descr="C:\Users\fatih.gonul\Desktop\mitt moskova foto\CAM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h.gonul\Desktop\mitt moskova foto\CAM00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166" cy="2132646"/>
                    </a:xfrm>
                    <a:prstGeom prst="rect">
                      <a:avLst/>
                    </a:prstGeom>
                    <a:noFill/>
                    <a:ln>
                      <a:noFill/>
                    </a:ln>
                  </pic:spPr>
                </pic:pic>
              </a:graphicData>
            </a:graphic>
          </wp:inline>
        </w:drawing>
      </w:r>
    </w:p>
    <w:p w:rsidR="00776541" w:rsidRDefault="00A17FB9" w:rsidP="00AB5C2B">
      <w:pPr>
        <w:rPr>
          <w:sz w:val="24"/>
          <w:szCs w:val="24"/>
        </w:rPr>
      </w:pPr>
      <w:r>
        <w:rPr>
          <w:sz w:val="24"/>
          <w:szCs w:val="24"/>
        </w:rPr>
        <w:t>MITT Moskova Fuarı’nda</w:t>
      </w:r>
      <w:r w:rsidRPr="00A17FB9">
        <w:rPr>
          <w:sz w:val="24"/>
          <w:szCs w:val="24"/>
        </w:rPr>
        <w:t xml:space="preserve">ki Türkiye </w:t>
      </w:r>
      <w:r>
        <w:rPr>
          <w:sz w:val="24"/>
          <w:szCs w:val="24"/>
        </w:rPr>
        <w:t xml:space="preserve">pavillonunda </w:t>
      </w:r>
      <w:r w:rsidRPr="00A17FB9">
        <w:rPr>
          <w:b/>
          <w:sz w:val="24"/>
          <w:szCs w:val="24"/>
        </w:rPr>
        <w:t>TÜRSAB</w:t>
      </w:r>
      <w:r w:rsidRPr="00A17FB9">
        <w:rPr>
          <w:sz w:val="24"/>
          <w:szCs w:val="24"/>
        </w:rPr>
        <w:t xml:space="preserve"> başta olmak üzere Türkiye’deki turizm sektörünü temsil eden </w:t>
      </w:r>
      <w:r>
        <w:rPr>
          <w:sz w:val="24"/>
          <w:szCs w:val="24"/>
        </w:rPr>
        <w:t xml:space="preserve">20’yi aşkın </w:t>
      </w:r>
      <w:r w:rsidRPr="00A17FB9">
        <w:rPr>
          <w:sz w:val="24"/>
          <w:szCs w:val="24"/>
        </w:rPr>
        <w:t>kurum ve kuruluş</w:t>
      </w:r>
      <w:r>
        <w:rPr>
          <w:sz w:val="24"/>
          <w:szCs w:val="24"/>
        </w:rPr>
        <w:t xml:space="preserve"> ve toplamda 24 acenta ve otel temsil edildi. Türk Hava Yolları da MITT Moskova Fuarı’nda</w:t>
      </w:r>
      <w:r w:rsidR="00AB5C2B">
        <w:rPr>
          <w:sz w:val="24"/>
          <w:szCs w:val="24"/>
        </w:rPr>
        <w:t xml:space="preserve"> 8’inci pavillon 1’inci holdeki </w:t>
      </w:r>
      <w:r>
        <w:rPr>
          <w:sz w:val="24"/>
          <w:szCs w:val="24"/>
        </w:rPr>
        <w:t xml:space="preserve">Türkiye </w:t>
      </w:r>
      <w:r w:rsidR="00AB5C2B">
        <w:rPr>
          <w:sz w:val="24"/>
          <w:szCs w:val="24"/>
        </w:rPr>
        <w:t xml:space="preserve">standı </w:t>
      </w:r>
      <w:r>
        <w:rPr>
          <w:sz w:val="24"/>
          <w:szCs w:val="24"/>
        </w:rPr>
        <w:t xml:space="preserve">içinde temsil edilen kurumlar </w:t>
      </w:r>
      <w:r w:rsidR="00705A70">
        <w:rPr>
          <w:sz w:val="24"/>
          <w:szCs w:val="24"/>
        </w:rPr>
        <w:t xml:space="preserve">arasında </w:t>
      </w:r>
      <w:r>
        <w:rPr>
          <w:sz w:val="24"/>
          <w:szCs w:val="24"/>
        </w:rPr>
        <w:t>yer aldı.</w:t>
      </w:r>
      <w:r w:rsidR="00AB5C2B">
        <w:rPr>
          <w:sz w:val="24"/>
          <w:szCs w:val="24"/>
        </w:rPr>
        <w:t xml:space="preserve"> </w:t>
      </w:r>
    </w:p>
    <w:p w:rsidR="00AB5C2B" w:rsidRDefault="00AB5C2B" w:rsidP="00AB5C2B">
      <w:pPr>
        <w:rPr>
          <w:sz w:val="24"/>
          <w:szCs w:val="24"/>
        </w:rPr>
      </w:pPr>
      <w:r w:rsidRPr="00235B47">
        <w:rPr>
          <w:sz w:val="24"/>
          <w:szCs w:val="24"/>
        </w:rPr>
        <w:t xml:space="preserve">TÜRSAB standında, ziyaretçilere TÜRSAB ve Müze dergilerinin çeşitli sayıları, İstanbul Arkeoloji Müzesi Broşürleri, </w:t>
      </w:r>
      <w:r>
        <w:rPr>
          <w:sz w:val="24"/>
          <w:szCs w:val="24"/>
        </w:rPr>
        <w:t xml:space="preserve">İstanbul Shopping Fest broşürleri, </w:t>
      </w:r>
      <w:r w:rsidRPr="00235B47">
        <w:rPr>
          <w:sz w:val="24"/>
          <w:szCs w:val="24"/>
        </w:rPr>
        <w:t>Travel Turkey İzmir 2014 Fuarı broşürleri, “Where Istanbul” dergisinin çeşitli sayıları, TÜRSAB CD’leri dağıtıl</w:t>
      </w:r>
      <w:r>
        <w:rPr>
          <w:sz w:val="24"/>
          <w:szCs w:val="24"/>
        </w:rPr>
        <w:t>dı.</w:t>
      </w:r>
      <w:r w:rsidR="00A17FB9">
        <w:rPr>
          <w:sz w:val="24"/>
          <w:szCs w:val="24"/>
        </w:rPr>
        <w:t xml:space="preserve"> Rusya pazarında aktif ola</w:t>
      </w:r>
      <w:r>
        <w:rPr>
          <w:sz w:val="24"/>
          <w:szCs w:val="24"/>
        </w:rPr>
        <w:t>rak rol alan Türk tur operatörleri de geçtiğimiz yıldaki gibi 8’inci pavillon 2’inci holde yerlerini aldılar.</w:t>
      </w:r>
    </w:p>
    <w:p w:rsidR="00776541" w:rsidRDefault="00776541" w:rsidP="00AB5C2B">
      <w:pPr>
        <w:rPr>
          <w:sz w:val="24"/>
          <w:szCs w:val="24"/>
        </w:rPr>
      </w:pPr>
      <w:r>
        <w:rPr>
          <w:noProof/>
          <w:sz w:val="24"/>
          <w:szCs w:val="24"/>
          <w:lang w:eastAsia="tr-TR"/>
        </w:rPr>
        <w:lastRenderedPageBreak/>
        <w:drawing>
          <wp:inline distT="0" distB="0" distL="0" distR="0">
            <wp:extent cx="2837436" cy="2127600"/>
            <wp:effectExtent l="0" t="0" r="1270" b="6350"/>
            <wp:docPr id="9" name="Resim 9" descr="C:\Users\fatih.gonul\Desktop\mitt moskova foto\CAM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gonul\Desktop\mitt moskova foto\CAM000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436" cy="2127600"/>
                    </a:xfrm>
                    <a:prstGeom prst="rect">
                      <a:avLst/>
                    </a:prstGeom>
                    <a:noFill/>
                    <a:ln>
                      <a:noFill/>
                    </a:ln>
                  </pic:spPr>
                </pic:pic>
              </a:graphicData>
            </a:graphic>
          </wp:inline>
        </w:drawing>
      </w:r>
      <w:r w:rsidRPr="007765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A1581">
        <w:rPr>
          <w:noProof/>
          <w:lang w:eastAsia="tr-TR"/>
        </w:rPr>
        <w:drawing>
          <wp:inline distT="0" distB="0" distL="0" distR="0">
            <wp:extent cx="2838091" cy="2128334"/>
            <wp:effectExtent l="0" t="0" r="635" b="5715"/>
            <wp:docPr id="18" name="Resim 18" descr="C:\Users\fatih.gonul\AppData\Local\Microsoft\Windows\Temporary Internet Files\Content.Word\mi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h.gonul\AppData\Local\Microsoft\Windows\Temporary Internet Files\Content.Word\mitt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091" cy="2128334"/>
                    </a:xfrm>
                    <a:prstGeom prst="rect">
                      <a:avLst/>
                    </a:prstGeom>
                    <a:noFill/>
                    <a:ln>
                      <a:noFill/>
                    </a:ln>
                  </pic:spPr>
                </pic:pic>
              </a:graphicData>
            </a:graphic>
          </wp:inline>
        </w:drawing>
      </w:r>
      <w:r w:rsidR="00626EDC" w:rsidRPr="00626EDC">
        <w:rPr>
          <w:noProof/>
          <w:sz w:val="24"/>
          <w:szCs w:val="24"/>
          <w:lang w:eastAsia="tr-TR"/>
        </w:rPr>
        <w:t xml:space="preserve">  </w:t>
      </w:r>
    </w:p>
    <w:p w:rsidR="00AB5C2B" w:rsidRDefault="00AB5C2B" w:rsidP="00AB5C2B">
      <w:pPr>
        <w:rPr>
          <w:sz w:val="24"/>
          <w:szCs w:val="24"/>
        </w:rPr>
      </w:pPr>
      <w:r>
        <w:rPr>
          <w:sz w:val="24"/>
          <w:szCs w:val="24"/>
        </w:rPr>
        <w:t xml:space="preserve">Türkiye’nin Kültür ve Turizm Bakan Yardımcısı Abdurrahman Arıcı ve Kültür ve Turizm Bakanlığı Müsteşarı </w:t>
      </w:r>
      <w:r w:rsidR="00F21381">
        <w:rPr>
          <w:sz w:val="24"/>
          <w:szCs w:val="24"/>
        </w:rPr>
        <w:t>Ö</w:t>
      </w:r>
      <w:r>
        <w:rPr>
          <w:sz w:val="24"/>
          <w:szCs w:val="24"/>
        </w:rPr>
        <w:t xml:space="preserve">zgür Özaslan tarafından temsil edildiği fuarda, </w:t>
      </w:r>
      <w:r w:rsidRPr="00AB5C2B">
        <w:rPr>
          <w:sz w:val="24"/>
          <w:szCs w:val="24"/>
        </w:rPr>
        <w:t>M</w:t>
      </w:r>
      <w:r>
        <w:rPr>
          <w:sz w:val="24"/>
          <w:szCs w:val="24"/>
        </w:rPr>
        <w:t xml:space="preserve">oskova </w:t>
      </w:r>
      <w:r w:rsidRPr="00AB5C2B">
        <w:rPr>
          <w:sz w:val="24"/>
          <w:szCs w:val="24"/>
        </w:rPr>
        <w:t>Kültür ve Tanıtma Müşavirliği'nin organizasyonu ile gerçekleştirilen</w:t>
      </w:r>
      <w:r>
        <w:rPr>
          <w:sz w:val="24"/>
          <w:szCs w:val="24"/>
        </w:rPr>
        <w:t xml:space="preserve"> halk oyunu gösterileri büyük ilgi gördü. </w:t>
      </w:r>
    </w:p>
    <w:p w:rsidR="00F21381" w:rsidRPr="00F21381" w:rsidRDefault="00F21381" w:rsidP="00F21381">
      <w:pPr>
        <w:jc w:val="both"/>
        <w:rPr>
          <w:b/>
          <w:sz w:val="24"/>
          <w:szCs w:val="24"/>
        </w:rPr>
      </w:pPr>
      <w:r w:rsidRPr="00F21381">
        <w:rPr>
          <w:b/>
          <w:sz w:val="24"/>
          <w:szCs w:val="24"/>
        </w:rPr>
        <w:t>2014 RUSYA PAZAR BEKLENTİLERİ</w:t>
      </w:r>
    </w:p>
    <w:p w:rsidR="00F21381" w:rsidRDefault="00F21381" w:rsidP="00F21381">
      <w:pPr>
        <w:rPr>
          <w:sz w:val="24"/>
          <w:szCs w:val="24"/>
        </w:rPr>
      </w:pPr>
      <w:r w:rsidRPr="00F21381">
        <w:rPr>
          <w:sz w:val="24"/>
          <w:szCs w:val="24"/>
        </w:rPr>
        <w:t xml:space="preserve">- </w:t>
      </w:r>
      <w:r>
        <w:rPr>
          <w:sz w:val="24"/>
          <w:szCs w:val="24"/>
        </w:rPr>
        <w:t>Rusya pazarından Türkiye’ye yönelik olarak gerçekleşecek rezervasyonlar ekonomik ve siyasi etkenlerle doğrudan bağlantılı olarak şekillenecek.</w:t>
      </w:r>
    </w:p>
    <w:p w:rsidR="00F21381" w:rsidRDefault="00F21381" w:rsidP="00F21381">
      <w:pPr>
        <w:rPr>
          <w:sz w:val="24"/>
          <w:szCs w:val="24"/>
        </w:rPr>
      </w:pPr>
      <w:r>
        <w:rPr>
          <w:sz w:val="24"/>
          <w:szCs w:val="24"/>
        </w:rPr>
        <w:t>- Rus Rublesi’ndeki değer kaybı, Ukrayna ile Rusya arasında yaşanan kriz ve Kırım sorunu Rus turistin Türkiye’ye geliş</w:t>
      </w:r>
      <w:r w:rsidR="00B71698">
        <w:rPr>
          <w:sz w:val="24"/>
          <w:szCs w:val="24"/>
        </w:rPr>
        <w:t>i</w:t>
      </w:r>
      <w:r>
        <w:rPr>
          <w:sz w:val="24"/>
          <w:szCs w:val="24"/>
        </w:rPr>
        <w:t xml:space="preserve">ni </w:t>
      </w:r>
      <w:r w:rsidR="00B71698">
        <w:rPr>
          <w:sz w:val="24"/>
          <w:szCs w:val="24"/>
        </w:rPr>
        <w:t xml:space="preserve">doğrudan </w:t>
      </w:r>
      <w:r>
        <w:rPr>
          <w:sz w:val="24"/>
          <w:szCs w:val="24"/>
        </w:rPr>
        <w:t>etkileyece</w:t>
      </w:r>
      <w:r w:rsidR="00B71698">
        <w:rPr>
          <w:sz w:val="24"/>
          <w:szCs w:val="24"/>
        </w:rPr>
        <w:t>k etmenler olacak.</w:t>
      </w:r>
    </w:p>
    <w:p w:rsidR="00B71698" w:rsidRDefault="00F21381" w:rsidP="00F21381">
      <w:pPr>
        <w:rPr>
          <w:sz w:val="24"/>
          <w:szCs w:val="24"/>
        </w:rPr>
      </w:pPr>
      <w:r>
        <w:rPr>
          <w:sz w:val="24"/>
          <w:szCs w:val="24"/>
        </w:rPr>
        <w:t xml:space="preserve">- Pazarda en önemli belirleyici Ruble’deki değer kaybı olacak. </w:t>
      </w:r>
      <w:r w:rsidRPr="008D7255">
        <w:rPr>
          <w:sz w:val="24"/>
          <w:szCs w:val="24"/>
        </w:rPr>
        <w:t>Küresel ekonomik krizin etkisini arttırdığı 2009 yılında da Ruble</w:t>
      </w:r>
      <w:r w:rsidR="00B71698">
        <w:rPr>
          <w:sz w:val="24"/>
          <w:szCs w:val="24"/>
        </w:rPr>
        <w:t>,</w:t>
      </w:r>
      <w:r w:rsidRPr="008D7255">
        <w:rPr>
          <w:sz w:val="24"/>
          <w:szCs w:val="24"/>
        </w:rPr>
        <w:t xml:space="preserve"> Dolar karşısında ciddi değer kaybına uğramış dolar ruble paritesi </w:t>
      </w:r>
      <w:r>
        <w:rPr>
          <w:sz w:val="24"/>
          <w:szCs w:val="24"/>
        </w:rPr>
        <w:t>1/</w:t>
      </w:r>
      <w:r w:rsidR="00B71698">
        <w:rPr>
          <w:sz w:val="24"/>
          <w:szCs w:val="24"/>
        </w:rPr>
        <w:t>36’ya</w:t>
      </w:r>
      <w:r w:rsidRPr="008D7255">
        <w:rPr>
          <w:sz w:val="24"/>
          <w:szCs w:val="24"/>
        </w:rPr>
        <w:t xml:space="preserve"> kadar çıkmıştı. Ruble’deki değer kaybı Rusların yurtdışı çıkışlarını etkilemiş ve 2009 yılında Türkiye’ye gelen Rus turist sayısı yüzde 6.40 oranında düşerek 2 milyon 879 binden 2 milyon 694 bine gerilemişti.</w:t>
      </w:r>
    </w:p>
    <w:p w:rsidR="00B71698" w:rsidRPr="008D7255" w:rsidRDefault="00B71698" w:rsidP="00B71698">
      <w:pPr>
        <w:rPr>
          <w:sz w:val="24"/>
          <w:szCs w:val="24"/>
        </w:rPr>
      </w:pPr>
      <w:r>
        <w:rPr>
          <w:sz w:val="24"/>
          <w:szCs w:val="24"/>
        </w:rPr>
        <w:t xml:space="preserve">- </w:t>
      </w:r>
      <w:r w:rsidRPr="008D7255">
        <w:rPr>
          <w:sz w:val="24"/>
          <w:szCs w:val="24"/>
        </w:rPr>
        <w:t>Ruble’de yaşanan benzer seviyedeki değer kaybının 2014 yılı yaz satışlarına nasıl etki edeceği henüz bilinmiyor. Ancak Rusya Federal Turizm Ajansı Başkanı Aleksandr Radkov bazı medya organlarında yayınlanan açıklamasında Ruble’deki değer kaybının Rusya’nın iç turizmine yarayacağını söyledi.</w:t>
      </w:r>
    </w:p>
    <w:p w:rsidR="00B71698" w:rsidRDefault="00B71698" w:rsidP="00F21381">
      <w:pPr>
        <w:rPr>
          <w:sz w:val="24"/>
          <w:szCs w:val="24"/>
        </w:rPr>
      </w:pPr>
      <w:r>
        <w:rPr>
          <w:sz w:val="24"/>
          <w:szCs w:val="24"/>
        </w:rPr>
        <w:t xml:space="preserve">- Ruble’nin Euro karşısındaki değer kaybının Dolar’dan fazla olması nedeniyle </w:t>
      </w:r>
      <w:r w:rsidR="00626EDC">
        <w:rPr>
          <w:sz w:val="24"/>
          <w:szCs w:val="24"/>
        </w:rPr>
        <w:t xml:space="preserve">Rus turistlerin </w:t>
      </w:r>
      <w:r>
        <w:rPr>
          <w:sz w:val="24"/>
          <w:szCs w:val="24"/>
        </w:rPr>
        <w:t xml:space="preserve">son yıllarda </w:t>
      </w:r>
      <w:r w:rsidR="00626EDC">
        <w:rPr>
          <w:sz w:val="24"/>
          <w:szCs w:val="24"/>
        </w:rPr>
        <w:t>A</w:t>
      </w:r>
      <w:r>
        <w:rPr>
          <w:sz w:val="24"/>
          <w:szCs w:val="24"/>
        </w:rPr>
        <w:t xml:space="preserve">vrupa’ya </w:t>
      </w:r>
      <w:r w:rsidR="00626EDC">
        <w:rPr>
          <w:sz w:val="24"/>
          <w:szCs w:val="24"/>
        </w:rPr>
        <w:t xml:space="preserve">artan ilgisinin </w:t>
      </w:r>
      <w:r>
        <w:rPr>
          <w:sz w:val="24"/>
          <w:szCs w:val="24"/>
        </w:rPr>
        <w:t>hızı kesilebilir.</w:t>
      </w:r>
    </w:p>
    <w:p w:rsidR="00CB0F42" w:rsidRDefault="00B71698" w:rsidP="00F21381">
      <w:pPr>
        <w:rPr>
          <w:sz w:val="24"/>
          <w:szCs w:val="24"/>
        </w:rPr>
      </w:pPr>
      <w:r>
        <w:rPr>
          <w:sz w:val="24"/>
          <w:szCs w:val="24"/>
        </w:rPr>
        <w:t>- Kırım</w:t>
      </w:r>
      <w:r w:rsidR="00CB0F42">
        <w:rPr>
          <w:sz w:val="24"/>
          <w:szCs w:val="24"/>
        </w:rPr>
        <w:t xml:space="preserve"> sorunu nedeniyle </w:t>
      </w:r>
      <w:r>
        <w:rPr>
          <w:sz w:val="24"/>
          <w:szCs w:val="24"/>
        </w:rPr>
        <w:t>A</w:t>
      </w:r>
      <w:r w:rsidR="00CB0F42">
        <w:rPr>
          <w:sz w:val="24"/>
          <w:szCs w:val="24"/>
        </w:rPr>
        <w:t>vrupa Birliği ile Rusya arasında gerilen ilişkiler de Rusya’dan Avrupa’ya olan talebi düşürebilir.</w:t>
      </w:r>
    </w:p>
    <w:p w:rsidR="00CB0F42" w:rsidRDefault="00CB0F42" w:rsidP="00CB0F42">
      <w:pPr>
        <w:rPr>
          <w:sz w:val="24"/>
          <w:szCs w:val="24"/>
        </w:rPr>
      </w:pPr>
      <w:r>
        <w:rPr>
          <w:sz w:val="24"/>
          <w:szCs w:val="24"/>
        </w:rPr>
        <w:t>- Kırım’ı resmen topraklarına katan Rusya, vatandaşlarını; en önemli geçim kaynağı turizm olan Kırım bölgesine gitmeye teşvik edebilir. Ukrayna’ya bağlı özerk bir cumhuriyet iken Kırım’ın yılda 6 milyona yakın Ukraynalı ve Rus turist ağırladığı belirtiliyor.</w:t>
      </w:r>
    </w:p>
    <w:p w:rsidR="00776541" w:rsidRDefault="00776541" w:rsidP="00776541">
      <w:pPr>
        <w:rPr>
          <w:sz w:val="24"/>
          <w:szCs w:val="24"/>
        </w:rPr>
      </w:pPr>
      <w:r>
        <w:rPr>
          <w:sz w:val="24"/>
          <w:szCs w:val="24"/>
        </w:rPr>
        <w:t xml:space="preserve">- Türkiye’nin ardından Rusya’dan en çok turist alan ikinci ülke konumundaki Mısır’da yaşanacak gelişmeler de Türkiye’yi doğrudan etkileyecek. 2013 yılında 2.2 milyon Rus turist </w:t>
      </w:r>
      <w:r>
        <w:rPr>
          <w:sz w:val="24"/>
          <w:szCs w:val="24"/>
        </w:rPr>
        <w:lastRenderedPageBreak/>
        <w:t>ağırlayan (1,9 milyonu turistik amaçlı) Mısır, 2014 yılından da umutlu. Mısır, MITT Moskova Fuarı sırasında Rusya pazarı</w:t>
      </w:r>
      <w:r w:rsidR="00705A70">
        <w:rPr>
          <w:sz w:val="24"/>
          <w:szCs w:val="24"/>
        </w:rPr>
        <w:t xml:space="preserve"> için 2014</w:t>
      </w:r>
      <w:r>
        <w:rPr>
          <w:sz w:val="24"/>
          <w:szCs w:val="24"/>
        </w:rPr>
        <w:t xml:space="preserve"> hedefini 2,8 milyon ziyaretçi sayısına ulaşmak olarak açıkladı.</w:t>
      </w:r>
    </w:p>
    <w:p w:rsidR="00776541" w:rsidRDefault="00776541" w:rsidP="00CB0F42">
      <w:pPr>
        <w:rPr>
          <w:sz w:val="24"/>
          <w:szCs w:val="24"/>
        </w:rPr>
      </w:pPr>
      <w:r>
        <w:rPr>
          <w:noProof/>
          <w:sz w:val="24"/>
          <w:szCs w:val="24"/>
          <w:lang w:eastAsia="tr-TR"/>
        </w:rPr>
        <w:drawing>
          <wp:inline distT="0" distB="0" distL="0" distR="0" wp14:anchorId="03E9721F" wp14:editId="2DCBB3C1">
            <wp:extent cx="2837436" cy="2127600"/>
            <wp:effectExtent l="0" t="0" r="1270" b="6350"/>
            <wp:docPr id="7" name="Resim 7" descr="C:\Users\fatih.gonul\Desktop\mitt moskova foto\CAM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h.gonul\Desktop\mitt moskova foto\CAM000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436" cy="2127600"/>
                    </a:xfrm>
                    <a:prstGeom prst="rect">
                      <a:avLst/>
                    </a:prstGeom>
                    <a:noFill/>
                    <a:ln>
                      <a:noFill/>
                    </a:ln>
                  </pic:spPr>
                </pic:pic>
              </a:graphicData>
            </a:graphic>
          </wp:inline>
        </w:drawing>
      </w:r>
      <w:r w:rsidRPr="007765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tr-TR"/>
        </w:rPr>
        <w:drawing>
          <wp:inline distT="0" distB="0" distL="0" distR="0" wp14:anchorId="7ABBB832" wp14:editId="0E964224">
            <wp:extent cx="2837436" cy="2127600"/>
            <wp:effectExtent l="0" t="0" r="1270" b="6350"/>
            <wp:docPr id="8" name="Resim 8" descr="C:\Users\fatih.gonul\Desktop\mitt moskova foto\CAM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h.gonul\Desktop\mitt moskova foto\CAM000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436" cy="2127600"/>
                    </a:xfrm>
                    <a:prstGeom prst="rect">
                      <a:avLst/>
                    </a:prstGeom>
                    <a:noFill/>
                    <a:ln>
                      <a:noFill/>
                    </a:ln>
                  </pic:spPr>
                </pic:pic>
              </a:graphicData>
            </a:graphic>
          </wp:inline>
        </w:drawing>
      </w:r>
    </w:p>
    <w:p w:rsidR="00F21381" w:rsidRDefault="00E65BBD" w:rsidP="00340576">
      <w:pPr>
        <w:rPr>
          <w:sz w:val="24"/>
          <w:szCs w:val="24"/>
        </w:rPr>
      </w:pPr>
      <w:r>
        <w:rPr>
          <w:sz w:val="24"/>
          <w:szCs w:val="24"/>
        </w:rPr>
        <w:t xml:space="preserve">- Yunanistan da Rusya pazarından artış bekleyen ülkeler arasında yer aldı. 2012 yılında 834 bin Rus turist ağırlayan </w:t>
      </w:r>
      <w:r w:rsidR="00705A70">
        <w:rPr>
          <w:sz w:val="24"/>
          <w:szCs w:val="24"/>
        </w:rPr>
        <w:t xml:space="preserve">ve </w:t>
      </w:r>
      <w:r>
        <w:rPr>
          <w:sz w:val="24"/>
          <w:szCs w:val="24"/>
        </w:rPr>
        <w:t xml:space="preserve">2013 yılında bu sayıyı yüzde 66 oranında arttırarak </w:t>
      </w:r>
      <w:r w:rsidR="00705A70">
        <w:rPr>
          <w:sz w:val="24"/>
          <w:szCs w:val="24"/>
        </w:rPr>
        <w:t xml:space="preserve">1 milyon 388 bin seviyesine </w:t>
      </w:r>
      <w:r>
        <w:rPr>
          <w:sz w:val="24"/>
          <w:szCs w:val="24"/>
        </w:rPr>
        <w:t>taşıyan Yunanistan, 2014 yılında da çift haneli büyüme hedefliyor.</w:t>
      </w:r>
    </w:p>
    <w:p w:rsidR="00E65BBD" w:rsidRDefault="00E65BBD" w:rsidP="00E65BBD">
      <w:pPr>
        <w:rPr>
          <w:sz w:val="24"/>
          <w:szCs w:val="24"/>
        </w:rPr>
      </w:pPr>
      <w:r w:rsidRPr="00F21381">
        <w:rPr>
          <w:sz w:val="24"/>
          <w:szCs w:val="24"/>
        </w:rPr>
        <w:t>-</w:t>
      </w:r>
      <w:r>
        <w:rPr>
          <w:sz w:val="24"/>
          <w:szCs w:val="24"/>
        </w:rPr>
        <w:t xml:space="preserve"> Rusya’da faaliyet gösteren ve pazarın önemli bir kısmını kontrol eden Türk tur operatörleri Türkiye’ye yönelik erken rezervasyon satışlarının oldukça iyi başladığı ancak son dönemde ciddi biçimde yavaşladığı konusunda ortak görüş bildiriyorlar.</w:t>
      </w:r>
    </w:p>
    <w:p w:rsidR="00705A70" w:rsidRDefault="00705A70" w:rsidP="00705A70">
      <w:pPr>
        <w:rPr>
          <w:sz w:val="24"/>
          <w:szCs w:val="24"/>
        </w:rPr>
      </w:pPr>
      <w:r>
        <w:rPr>
          <w:sz w:val="24"/>
          <w:szCs w:val="24"/>
        </w:rPr>
        <w:t>- Fuara katılan Türk turizmciler genel olarak Rusya pazarı için temkinli ancak iyimser bir beklenti içinde</w:t>
      </w:r>
      <w:r w:rsidR="00A61497">
        <w:rPr>
          <w:sz w:val="24"/>
          <w:szCs w:val="24"/>
        </w:rPr>
        <w:t xml:space="preserve"> olduklarını ifade ettiler.</w:t>
      </w:r>
    </w:p>
    <w:p w:rsidR="007765A2" w:rsidRDefault="00E65BBD" w:rsidP="00340576">
      <w:pPr>
        <w:rPr>
          <w:sz w:val="24"/>
          <w:szCs w:val="24"/>
        </w:rPr>
      </w:pPr>
      <w:r>
        <w:rPr>
          <w:sz w:val="24"/>
          <w:szCs w:val="24"/>
        </w:rPr>
        <w:t>- Geleneksel olarak “son dakika”cı kimliği ile ön plana çıkan Rusya pazarında, 2014 yılında bu eğilimin daha da güçleneceği yönünde beklenti hakim durumda. Ancak belirsizliklerin çok olması nedeniyle “son dakika” konusundaki beklentilerin gerçeğe dönüşüp dönüşmeyeceği</w:t>
      </w:r>
      <w:r w:rsidR="007765A2">
        <w:rPr>
          <w:sz w:val="24"/>
          <w:szCs w:val="24"/>
        </w:rPr>
        <w:t>ni önümüzdeki günler gösterecek.</w:t>
      </w:r>
    </w:p>
    <w:p w:rsidR="00D627B0" w:rsidRDefault="009B67DF" w:rsidP="0058078D"/>
    <w:sectPr w:rsidR="00D627B0" w:rsidSect="00567C2F">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78D"/>
    <w:rsid w:val="00004454"/>
    <w:rsid w:val="00066D21"/>
    <w:rsid w:val="000B2E6C"/>
    <w:rsid w:val="00125DA9"/>
    <w:rsid w:val="00154374"/>
    <w:rsid w:val="001923F4"/>
    <w:rsid w:val="00202F12"/>
    <w:rsid w:val="0021757E"/>
    <w:rsid w:val="00227D25"/>
    <w:rsid w:val="00292DBD"/>
    <w:rsid w:val="002A5988"/>
    <w:rsid w:val="00332C62"/>
    <w:rsid w:val="00340576"/>
    <w:rsid w:val="00391A51"/>
    <w:rsid w:val="003B5E99"/>
    <w:rsid w:val="003D1604"/>
    <w:rsid w:val="003D3277"/>
    <w:rsid w:val="004514B4"/>
    <w:rsid w:val="004E6765"/>
    <w:rsid w:val="00567C2F"/>
    <w:rsid w:val="0058078D"/>
    <w:rsid w:val="005850B3"/>
    <w:rsid w:val="005E72BD"/>
    <w:rsid w:val="00607FBA"/>
    <w:rsid w:val="00626EDC"/>
    <w:rsid w:val="00630F23"/>
    <w:rsid w:val="00635C2D"/>
    <w:rsid w:val="00687F2F"/>
    <w:rsid w:val="006E25AF"/>
    <w:rsid w:val="006E7D8D"/>
    <w:rsid w:val="00705A70"/>
    <w:rsid w:val="00770AD1"/>
    <w:rsid w:val="00776541"/>
    <w:rsid w:val="007765A2"/>
    <w:rsid w:val="007E7874"/>
    <w:rsid w:val="007F08FB"/>
    <w:rsid w:val="0081365C"/>
    <w:rsid w:val="008A1581"/>
    <w:rsid w:val="008D7255"/>
    <w:rsid w:val="008E7834"/>
    <w:rsid w:val="00947046"/>
    <w:rsid w:val="009A1B47"/>
    <w:rsid w:val="009B67DF"/>
    <w:rsid w:val="00A17FB9"/>
    <w:rsid w:val="00A61497"/>
    <w:rsid w:val="00A97751"/>
    <w:rsid w:val="00AA2504"/>
    <w:rsid w:val="00AB5C2B"/>
    <w:rsid w:val="00AC50EE"/>
    <w:rsid w:val="00AE26C9"/>
    <w:rsid w:val="00B12455"/>
    <w:rsid w:val="00B71698"/>
    <w:rsid w:val="00B94571"/>
    <w:rsid w:val="00B963D7"/>
    <w:rsid w:val="00BE3AAF"/>
    <w:rsid w:val="00C04DDD"/>
    <w:rsid w:val="00C80425"/>
    <w:rsid w:val="00CB0F42"/>
    <w:rsid w:val="00CE2D6A"/>
    <w:rsid w:val="00D17593"/>
    <w:rsid w:val="00D47D53"/>
    <w:rsid w:val="00D94AB7"/>
    <w:rsid w:val="00DA0A0D"/>
    <w:rsid w:val="00DE2F27"/>
    <w:rsid w:val="00E01353"/>
    <w:rsid w:val="00E21662"/>
    <w:rsid w:val="00E3117E"/>
    <w:rsid w:val="00E65BBD"/>
    <w:rsid w:val="00E66FFD"/>
    <w:rsid w:val="00E70040"/>
    <w:rsid w:val="00EA1586"/>
    <w:rsid w:val="00EB0E8B"/>
    <w:rsid w:val="00EC75E5"/>
    <w:rsid w:val="00F15723"/>
    <w:rsid w:val="00F21381"/>
    <w:rsid w:val="00F83A99"/>
    <w:rsid w:val="00FA5D03"/>
    <w:rsid w:val="00FF2B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8078D"/>
    <w:rPr>
      <w:color w:val="0000FF" w:themeColor="hyperlink"/>
      <w:u w:val="single"/>
    </w:rPr>
  </w:style>
  <w:style w:type="character" w:styleId="Gl">
    <w:name w:val="Strong"/>
    <w:basedOn w:val="VarsaylanParagrafYazTipi"/>
    <w:uiPriority w:val="22"/>
    <w:qFormat/>
    <w:rsid w:val="0058078D"/>
    <w:rPr>
      <w:b/>
      <w:bCs/>
    </w:rPr>
  </w:style>
  <w:style w:type="paragraph" w:styleId="NormalWeb">
    <w:name w:val="Normal (Web)"/>
    <w:basedOn w:val="Normal"/>
    <w:uiPriority w:val="99"/>
    <w:semiHidden/>
    <w:unhideWhenUsed/>
    <w:rsid w:val="005807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8078D"/>
    <w:rPr>
      <w:i/>
      <w:iCs/>
    </w:rPr>
  </w:style>
  <w:style w:type="table" w:styleId="TabloKlavuzu">
    <w:name w:val="Table Grid"/>
    <w:basedOn w:val="NormalTablo"/>
    <w:uiPriority w:val="59"/>
    <w:rsid w:val="00607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7FBA"/>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607F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7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8078D"/>
    <w:rPr>
      <w:color w:val="0000FF" w:themeColor="hyperlink"/>
      <w:u w:val="single"/>
    </w:rPr>
  </w:style>
  <w:style w:type="character" w:styleId="Gl">
    <w:name w:val="Strong"/>
    <w:basedOn w:val="VarsaylanParagrafYazTipi"/>
    <w:uiPriority w:val="22"/>
    <w:qFormat/>
    <w:rsid w:val="0058078D"/>
    <w:rPr>
      <w:b/>
      <w:bCs/>
    </w:rPr>
  </w:style>
  <w:style w:type="paragraph" w:styleId="NormalWeb">
    <w:name w:val="Normal (Web)"/>
    <w:basedOn w:val="Normal"/>
    <w:uiPriority w:val="99"/>
    <w:semiHidden/>
    <w:unhideWhenUsed/>
    <w:rsid w:val="005807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8078D"/>
    <w:rPr>
      <w:i/>
      <w:iCs/>
    </w:rPr>
  </w:style>
  <w:style w:type="table" w:styleId="TabloKlavuzu">
    <w:name w:val="Table Grid"/>
    <w:basedOn w:val="NormalTablo"/>
    <w:uiPriority w:val="59"/>
    <w:rsid w:val="00607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7FBA"/>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607F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7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7904">
      <w:bodyDiv w:val="1"/>
      <w:marLeft w:val="0"/>
      <w:marRight w:val="0"/>
      <w:marTop w:val="0"/>
      <w:marBottom w:val="0"/>
      <w:divBdr>
        <w:top w:val="none" w:sz="0" w:space="0" w:color="auto"/>
        <w:left w:val="none" w:sz="0" w:space="0" w:color="auto"/>
        <w:bottom w:val="none" w:sz="0" w:space="0" w:color="auto"/>
        <w:right w:val="none" w:sz="0" w:space="0" w:color="auto"/>
      </w:divBdr>
      <w:divsChild>
        <w:div w:id="558514067">
          <w:marLeft w:val="0"/>
          <w:marRight w:val="0"/>
          <w:marTop w:val="0"/>
          <w:marBottom w:val="0"/>
          <w:divBdr>
            <w:top w:val="none" w:sz="0" w:space="0" w:color="auto"/>
            <w:left w:val="none" w:sz="0" w:space="0" w:color="auto"/>
            <w:bottom w:val="none" w:sz="0" w:space="0" w:color="auto"/>
            <w:right w:val="none" w:sz="0" w:space="0" w:color="auto"/>
          </w:divBdr>
          <w:divsChild>
            <w:div w:id="1436250784">
              <w:marLeft w:val="0"/>
              <w:marRight w:val="0"/>
              <w:marTop w:val="0"/>
              <w:marBottom w:val="0"/>
              <w:divBdr>
                <w:top w:val="none" w:sz="0" w:space="0" w:color="auto"/>
                <w:left w:val="none" w:sz="0" w:space="0" w:color="auto"/>
                <w:bottom w:val="none" w:sz="0" w:space="0" w:color="auto"/>
                <w:right w:val="none" w:sz="0" w:space="0" w:color="auto"/>
              </w:divBdr>
            </w:div>
            <w:div w:id="468129761">
              <w:marLeft w:val="0"/>
              <w:marRight w:val="0"/>
              <w:marTop w:val="0"/>
              <w:marBottom w:val="0"/>
              <w:divBdr>
                <w:top w:val="none" w:sz="0" w:space="0" w:color="auto"/>
                <w:left w:val="none" w:sz="0" w:space="0" w:color="auto"/>
                <w:bottom w:val="none" w:sz="0" w:space="0" w:color="auto"/>
                <w:right w:val="none" w:sz="0" w:space="0" w:color="auto"/>
              </w:divBdr>
            </w:div>
            <w:div w:id="319383621">
              <w:marLeft w:val="0"/>
              <w:marRight w:val="0"/>
              <w:marTop w:val="0"/>
              <w:marBottom w:val="0"/>
              <w:divBdr>
                <w:top w:val="none" w:sz="0" w:space="0" w:color="auto"/>
                <w:left w:val="none" w:sz="0" w:space="0" w:color="auto"/>
                <w:bottom w:val="none" w:sz="0" w:space="0" w:color="auto"/>
                <w:right w:val="none" w:sz="0" w:space="0" w:color="auto"/>
              </w:divBdr>
            </w:div>
            <w:div w:id="12949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058">
      <w:bodyDiv w:val="1"/>
      <w:marLeft w:val="0"/>
      <w:marRight w:val="0"/>
      <w:marTop w:val="0"/>
      <w:marBottom w:val="0"/>
      <w:divBdr>
        <w:top w:val="none" w:sz="0" w:space="0" w:color="auto"/>
        <w:left w:val="none" w:sz="0" w:space="0" w:color="auto"/>
        <w:bottom w:val="none" w:sz="0" w:space="0" w:color="auto"/>
        <w:right w:val="none" w:sz="0" w:space="0" w:color="auto"/>
      </w:divBdr>
      <w:divsChild>
        <w:div w:id="1483961172">
          <w:marLeft w:val="0"/>
          <w:marRight w:val="0"/>
          <w:marTop w:val="0"/>
          <w:marBottom w:val="0"/>
          <w:divBdr>
            <w:top w:val="none" w:sz="0" w:space="0" w:color="auto"/>
            <w:left w:val="none" w:sz="0" w:space="0" w:color="auto"/>
            <w:bottom w:val="none" w:sz="0" w:space="0" w:color="auto"/>
            <w:right w:val="none" w:sz="0" w:space="0" w:color="auto"/>
          </w:divBdr>
          <w:divsChild>
            <w:div w:id="1930651491">
              <w:marLeft w:val="0"/>
              <w:marRight w:val="0"/>
              <w:marTop w:val="0"/>
              <w:marBottom w:val="0"/>
              <w:divBdr>
                <w:top w:val="none" w:sz="0" w:space="0" w:color="auto"/>
                <w:left w:val="none" w:sz="0" w:space="0" w:color="auto"/>
                <w:bottom w:val="none" w:sz="0" w:space="0" w:color="auto"/>
                <w:right w:val="none" w:sz="0" w:space="0" w:color="auto"/>
              </w:divBdr>
              <w:divsChild>
                <w:div w:id="691344248">
                  <w:marLeft w:val="0"/>
                  <w:marRight w:val="0"/>
                  <w:marTop w:val="0"/>
                  <w:marBottom w:val="0"/>
                  <w:divBdr>
                    <w:top w:val="none" w:sz="0" w:space="0" w:color="auto"/>
                    <w:left w:val="none" w:sz="0" w:space="0" w:color="auto"/>
                    <w:bottom w:val="none" w:sz="0" w:space="0" w:color="auto"/>
                    <w:right w:val="none" w:sz="0" w:space="0" w:color="auto"/>
                  </w:divBdr>
                  <w:divsChild>
                    <w:div w:id="1991786415">
                      <w:marLeft w:val="0"/>
                      <w:marRight w:val="0"/>
                      <w:marTop w:val="0"/>
                      <w:marBottom w:val="0"/>
                      <w:divBdr>
                        <w:top w:val="none" w:sz="0" w:space="0" w:color="auto"/>
                        <w:left w:val="none" w:sz="0" w:space="0" w:color="auto"/>
                        <w:bottom w:val="none" w:sz="0" w:space="0" w:color="auto"/>
                        <w:right w:val="none" w:sz="0" w:space="0" w:color="auto"/>
                      </w:divBdr>
                      <w:divsChild>
                        <w:div w:id="17487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0756">
      <w:bodyDiv w:val="1"/>
      <w:marLeft w:val="0"/>
      <w:marRight w:val="0"/>
      <w:marTop w:val="0"/>
      <w:marBottom w:val="0"/>
      <w:divBdr>
        <w:top w:val="none" w:sz="0" w:space="0" w:color="auto"/>
        <w:left w:val="none" w:sz="0" w:space="0" w:color="auto"/>
        <w:bottom w:val="none" w:sz="0" w:space="0" w:color="auto"/>
        <w:right w:val="none" w:sz="0" w:space="0" w:color="auto"/>
      </w:divBdr>
      <w:divsChild>
        <w:div w:id="2079089021">
          <w:marLeft w:val="0"/>
          <w:marRight w:val="0"/>
          <w:marTop w:val="0"/>
          <w:marBottom w:val="0"/>
          <w:divBdr>
            <w:top w:val="none" w:sz="0" w:space="0" w:color="auto"/>
            <w:left w:val="none" w:sz="0" w:space="0" w:color="auto"/>
            <w:bottom w:val="none" w:sz="0" w:space="0" w:color="auto"/>
            <w:right w:val="none" w:sz="0" w:space="0" w:color="auto"/>
          </w:divBdr>
          <w:divsChild>
            <w:div w:id="1069036347">
              <w:marLeft w:val="150"/>
              <w:marRight w:val="150"/>
              <w:marTop w:val="150"/>
              <w:marBottom w:val="90"/>
              <w:divBdr>
                <w:top w:val="none" w:sz="0" w:space="0" w:color="auto"/>
                <w:left w:val="none" w:sz="0" w:space="0" w:color="auto"/>
                <w:bottom w:val="none" w:sz="0" w:space="0" w:color="auto"/>
                <w:right w:val="none" w:sz="0" w:space="0" w:color="auto"/>
              </w:divBdr>
              <w:divsChild>
                <w:div w:id="356857828">
                  <w:marLeft w:val="0"/>
                  <w:marRight w:val="0"/>
                  <w:marTop w:val="0"/>
                  <w:marBottom w:val="0"/>
                  <w:divBdr>
                    <w:top w:val="none" w:sz="0" w:space="0" w:color="auto"/>
                    <w:left w:val="none" w:sz="0" w:space="0" w:color="auto"/>
                    <w:bottom w:val="none" w:sz="0" w:space="0" w:color="auto"/>
                    <w:right w:val="none" w:sz="0" w:space="0" w:color="auto"/>
                  </w:divBdr>
                  <w:divsChild>
                    <w:div w:id="579101346">
                      <w:marLeft w:val="0"/>
                      <w:marRight w:val="0"/>
                      <w:marTop w:val="0"/>
                      <w:marBottom w:val="0"/>
                      <w:divBdr>
                        <w:top w:val="none" w:sz="0" w:space="0" w:color="auto"/>
                        <w:left w:val="none" w:sz="0" w:space="0" w:color="auto"/>
                        <w:bottom w:val="none" w:sz="0" w:space="0" w:color="auto"/>
                        <w:right w:val="none" w:sz="0" w:space="0" w:color="auto"/>
                      </w:divBdr>
                      <w:divsChild>
                        <w:div w:id="1003430235">
                          <w:marLeft w:val="315"/>
                          <w:marRight w:val="0"/>
                          <w:marTop w:val="0"/>
                          <w:marBottom w:val="0"/>
                          <w:divBdr>
                            <w:top w:val="none" w:sz="0" w:space="0" w:color="auto"/>
                            <w:left w:val="none" w:sz="0" w:space="0" w:color="auto"/>
                            <w:bottom w:val="none" w:sz="0" w:space="0" w:color="auto"/>
                            <w:right w:val="none" w:sz="0" w:space="0" w:color="auto"/>
                          </w:divBdr>
                          <w:divsChild>
                            <w:div w:id="199245059">
                              <w:marLeft w:val="0"/>
                              <w:marRight w:val="0"/>
                              <w:marTop w:val="0"/>
                              <w:marBottom w:val="0"/>
                              <w:divBdr>
                                <w:top w:val="none" w:sz="0" w:space="0" w:color="auto"/>
                                <w:left w:val="none" w:sz="0" w:space="0" w:color="auto"/>
                                <w:bottom w:val="none" w:sz="0" w:space="0" w:color="auto"/>
                                <w:right w:val="none" w:sz="0" w:space="0" w:color="auto"/>
                              </w:divBdr>
                              <w:divsChild>
                                <w:div w:id="13484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746873">
      <w:bodyDiv w:val="1"/>
      <w:marLeft w:val="0"/>
      <w:marRight w:val="0"/>
      <w:marTop w:val="0"/>
      <w:marBottom w:val="0"/>
      <w:divBdr>
        <w:top w:val="none" w:sz="0" w:space="0" w:color="auto"/>
        <w:left w:val="none" w:sz="0" w:space="0" w:color="auto"/>
        <w:bottom w:val="none" w:sz="0" w:space="0" w:color="auto"/>
        <w:right w:val="none" w:sz="0" w:space="0" w:color="auto"/>
      </w:divBdr>
      <w:divsChild>
        <w:div w:id="931620045">
          <w:marLeft w:val="0"/>
          <w:marRight w:val="0"/>
          <w:marTop w:val="0"/>
          <w:marBottom w:val="0"/>
          <w:divBdr>
            <w:top w:val="none" w:sz="0" w:space="0" w:color="auto"/>
            <w:left w:val="none" w:sz="0" w:space="0" w:color="auto"/>
            <w:bottom w:val="none" w:sz="0" w:space="0" w:color="auto"/>
            <w:right w:val="none" w:sz="0" w:space="0" w:color="auto"/>
          </w:divBdr>
          <w:divsChild>
            <w:div w:id="1122071140">
              <w:marLeft w:val="0"/>
              <w:marRight w:val="0"/>
              <w:marTop w:val="0"/>
              <w:marBottom w:val="0"/>
              <w:divBdr>
                <w:top w:val="none" w:sz="0" w:space="0" w:color="auto"/>
                <w:left w:val="none" w:sz="0" w:space="0" w:color="auto"/>
                <w:bottom w:val="none" w:sz="0" w:space="0" w:color="auto"/>
                <w:right w:val="none" w:sz="0" w:space="0" w:color="auto"/>
              </w:divBdr>
            </w:div>
            <w:div w:id="336154381">
              <w:marLeft w:val="0"/>
              <w:marRight w:val="0"/>
              <w:marTop w:val="0"/>
              <w:marBottom w:val="0"/>
              <w:divBdr>
                <w:top w:val="none" w:sz="0" w:space="0" w:color="auto"/>
                <w:left w:val="none" w:sz="0" w:space="0" w:color="auto"/>
                <w:bottom w:val="none" w:sz="0" w:space="0" w:color="auto"/>
                <w:right w:val="none" w:sz="0" w:space="0" w:color="auto"/>
              </w:divBdr>
            </w:div>
            <w:div w:id="1158496133">
              <w:marLeft w:val="0"/>
              <w:marRight w:val="0"/>
              <w:marTop w:val="0"/>
              <w:marBottom w:val="0"/>
              <w:divBdr>
                <w:top w:val="none" w:sz="0" w:space="0" w:color="auto"/>
                <w:left w:val="none" w:sz="0" w:space="0" w:color="auto"/>
                <w:bottom w:val="none" w:sz="0" w:space="0" w:color="auto"/>
                <w:right w:val="none" w:sz="0" w:space="0" w:color="auto"/>
              </w:divBdr>
            </w:div>
            <w:div w:id="16891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32374">
      <w:bodyDiv w:val="1"/>
      <w:marLeft w:val="0"/>
      <w:marRight w:val="0"/>
      <w:marTop w:val="0"/>
      <w:marBottom w:val="0"/>
      <w:divBdr>
        <w:top w:val="none" w:sz="0" w:space="0" w:color="auto"/>
        <w:left w:val="none" w:sz="0" w:space="0" w:color="auto"/>
        <w:bottom w:val="none" w:sz="0" w:space="0" w:color="auto"/>
        <w:right w:val="none" w:sz="0" w:space="0" w:color="auto"/>
      </w:divBdr>
      <w:divsChild>
        <w:div w:id="559173915">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726561624">
              <w:marLeft w:val="0"/>
              <w:marRight w:val="0"/>
              <w:marTop w:val="0"/>
              <w:marBottom w:val="0"/>
              <w:divBdr>
                <w:top w:val="none" w:sz="0" w:space="0" w:color="auto"/>
                <w:left w:val="none" w:sz="0" w:space="0" w:color="auto"/>
                <w:bottom w:val="none" w:sz="0" w:space="0" w:color="auto"/>
                <w:right w:val="none" w:sz="0" w:space="0" w:color="auto"/>
              </w:divBdr>
            </w:div>
            <w:div w:id="33819915">
              <w:marLeft w:val="0"/>
              <w:marRight w:val="0"/>
              <w:marTop w:val="0"/>
              <w:marBottom w:val="0"/>
              <w:divBdr>
                <w:top w:val="none" w:sz="0" w:space="0" w:color="auto"/>
                <w:left w:val="none" w:sz="0" w:space="0" w:color="auto"/>
                <w:bottom w:val="none" w:sz="0" w:space="0" w:color="auto"/>
                <w:right w:val="none" w:sz="0" w:space="0" w:color="auto"/>
              </w:divBdr>
            </w:div>
            <w:div w:id="17242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3866">
      <w:bodyDiv w:val="1"/>
      <w:marLeft w:val="0"/>
      <w:marRight w:val="0"/>
      <w:marTop w:val="0"/>
      <w:marBottom w:val="0"/>
      <w:divBdr>
        <w:top w:val="none" w:sz="0" w:space="0" w:color="auto"/>
        <w:left w:val="none" w:sz="0" w:space="0" w:color="auto"/>
        <w:bottom w:val="none" w:sz="0" w:space="0" w:color="auto"/>
        <w:right w:val="none" w:sz="0" w:space="0" w:color="auto"/>
      </w:divBdr>
      <w:divsChild>
        <w:div w:id="1708141108">
          <w:marLeft w:val="0"/>
          <w:marRight w:val="0"/>
          <w:marTop w:val="0"/>
          <w:marBottom w:val="0"/>
          <w:divBdr>
            <w:top w:val="none" w:sz="0" w:space="0" w:color="auto"/>
            <w:left w:val="none" w:sz="0" w:space="0" w:color="auto"/>
            <w:bottom w:val="none" w:sz="0" w:space="0" w:color="auto"/>
            <w:right w:val="none" w:sz="0" w:space="0" w:color="auto"/>
          </w:divBdr>
          <w:divsChild>
            <w:div w:id="1821268284">
              <w:marLeft w:val="0"/>
              <w:marRight w:val="0"/>
              <w:marTop w:val="0"/>
              <w:marBottom w:val="0"/>
              <w:divBdr>
                <w:top w:val="none" w:sz="0" w:space="0" w:color="auto"/>
                <w:left w:val="none" w:sz="0" w:space="0" w:color="auto"/>
                <w:bottom w:val="none" w:sz="0" w:space="0" w:color="auto"/>
                <w:right w:val="none" w:sz="0" w:space="0" w:color="auto"/>
              </w:divBdr>
              <w:divsChild>
                <w:div w:id="268510317">
                  <w:marLeft w:val="0"/>
                  <w:marRight w:val="0"/>
                  <w:marTop w:val="0"/>
                  <w:marBottom w:val="0"/>
                  <w:divBdr>
                    <w:top w:val="none" w:sz="0" w:space="0" w:color="auto"/>
                    <w:left w:val="none" w:sz="0" w:space="0" w:color="auto"/>
                    <w:bottom w:val="none" w:sz="0" w:space="0" w:color="auto"/>
                    <w:right w:val="none" w:sz="0" w:space="0" w:color="auto"/>
                  </w:divBdr>
                  <w:divsChild>
                    <w:div w:id="1425682512">
                      <w:marLeft w:val="0"/>
                      <w:marRight w:val="0"/>
                      <w:marTop w:val="0"/>
                      <w:marBottom w:val="0"/>
                      <w:divBdr>
                        <w:top w:val="none" w:sz="0" w:space="0" w:color="auto"/>
                        <w:left w:val="none" w:sz="0" w:space="0" w:color="auto"/>
                        <w:bottom w:val="none" w:sz="0" w:space="0" w:color="auto"/>
                        <w:right w:val="none" w:sz="0" w:space="0" w:color="auto"/>
                      </w:divBdr>
                      <w:divsChild>
                        <w:div w:id="192310121">
                          <w:marLeft w:val="0"/>
                          <w:marRight w:val="0"/>
                          <w:marTop w:val="0"/>
                          <w:marBottom w:val="0"/>
                          <w:divBdr>
                            <w:top w:val="none" w:sz="0" w:space="0" w:color="auto"/>
                            <w:left w:val="none" w:sz="0" w:space="0" w:color="auto"/>
                            <w:bottom w:val="none" w:sz="0" w:space="0" w:color="auto"/>
                            <w:right w:val="none" w:sz="0" w:space="0" w:color="auto"/>
                          </w:divBdr>
                          <w:divsChild>
                            <w:div w:id="1495296578">
                              <w:marLeft w:val="0"/>
                              <w:marRight w:val="0"/>
                              <w:marTop w:val="0"/>
                              <w:marBottom w:val="0"/>
                              <w:divBdr>
                                <w:top w:val="none" w:sz="0" w:space="0" w:color="auto"/>
                                <w:left w:val="none" w:sz="0" w:space="0" w:color="auto"/>
                                <w:bottom w:val="none" w:sz="0" w:space="0" w:color="auto"/>
                                <w:right w:val="none" w:sz="0" w:space="0" w:color="auto"/>
                              </w:divBdr>
                              <w:divsChild>
                                <w:div w:id="490874104">
                                  <w:marLeft w:val="0"/>
                                  <w:marRight w:val="0"/>
                                  <w:marTop w:val="0"/>
                                  <w:marBottom w:val="0"/>
                                  <w:divBdr>
                                    <w:top w:val="none" w:sz="0" w:space="0" w:color="auto"/>
                                    <w:left w:val="none" w:sz="0" w:space="0" w:color="auto"/>
                                    <w:bottom w:val="none" w:sz="0" w:space="0" w:color="auto"/>
                                    <w:right w:val="none" w:sz="0" w:space="0" w:color="auto"/>
                                  </w:divBdr>
                                  <w:divsChild>
                                    <w:div w:id="1290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355176">
      <w:bodyDiv w:val="1"/>
      <w:marLeft w:val="0"/>
      <w:marRight w:val="0"/>
      <w:marTop w:val="0"/>
      <w:marBottom w:val="0"/>
      <w:divBdr>
        <w:top w:val="none" w:sz="0" w:space="0" w:color="auto"/>
        <w:left w:val="none" w:sz="0" w:space="0" w:color="auto"/>
        <w:bottom w:val="none" w:sz="0" w:space="0" w:color="auto"/>
        <w:right w:val="none" w:sz="0" w:space="0" w:color="auto"/>
      </w:divBdr>
      <w:divsChild>
        <w:div w:id="133985476">
          <w:marLeft w:val="0"/>
          <w:marRight w:val="0"/>
          <w:marTop w:val="0"/>
          <w:marBottom w:val="0"/>
          <w:divBdr>
            <w:top w:val="none" w:sz="0" w:space="0" w:color="auto"/>
            <w:left w:val="none" w:sz="0" w:space="0" w:color="auto"/>
            <w:bottom w:val="none" w:sz="0" w:space="0" w:color="auto"/>
            <w:right w:val="none" w:sz="0" w:space="0" w:color="auto"/>
          </w:divBdr>
          <w:divsChild>
            <w:div w:id="1999266072">
              <w:marLeft w:val="0"/>
              <w:marRight w:val="0"/>
              <w:marTop w:val="0"/>
              <w:marBottom w:val="0"/>
              <w:divBdr>
                <w:top w:val="single" w:sz="6" w:space="0" w:color="FFFFFF"/>
                <w:left w:val="single" w:sz="6" w:space="0" w:color="FFFFFF"/>
                <w:bottom w:val="single" w:sz="6" w:space="0" w:color="FFFFFF"/>
                <w:right w:val="single" w:sz="6" w:space="0" w:color="FFFFFF"/>
              </w:divBdr>
              <w:divsChild>
                <w:div w:id="2266501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48450368">
      <w:bodyDiv w:val="1"/>
      <w:marLeft w:val="0"/>
      <w:marRight w:val="0"/>
      <w:marTop w:val="0"/>
      <w:marBottom w:val="0"/>
      <w:divBdr>
        <w:top w:val="none" w:sz="0" w:space="0" w:color="auto"/>
        <w:left w:val="none" w:sz="0" w:space="0" w:color="auto"/>
        <w:bottom w:val="none" w:sz="0" w:space="0" w:color="auto"/>
        <w:right w:val="none" w:sz="0" w:space="0" w:color="auto"/>
      </w:divBdr>
      <w:divsChild>
        <w:div w:id="1104036560">
          <w:marLeft w:val="0"/>
          <w:marRight w:val="0"/>
          <w:marTop w:val="0"/>
          <w:marBottom w:val="0"/>
          <w:divBdr>
            <w:top w:val="none" w:sz="0" w:space="0" w:color="auto"/>
            <w:left w:val="none" w:sz="0" w:space="0" w:color="auto"/>
            <w:bottom w:val="none" w:sz="0" w:space="0" w:color="auto"/>
            <w:right w:val="none" w:sz="0" w:space="0" w:color="auto"/>
          </w:divBdr>
          <w:divsChild>
            <w:div w:id="1573927428">
              <w:marLeft w:val="0"/>
              <w:marRight w:val="0"/>
              <w:marTop w:val="0"/>
              <w:marBottom w:val="0"/>
              <w:divBdr>
                <w:top w:val="single" w:sz="6" w:space="0" w:color="FFFFFF"/>
                <w:left w:val="single" w:sz="6" w:space="0" w:color="FFFFFF"/>
                <w:bottom w:val="single" w:sz="6" w:space="0" w:color="FFFFFF"/>
                <w:right w:val="single" w:sz="6" w:space="0" w:color="FFFFFF"/>
              </w:divBdr>
              <w:divsChild>
                <w:div w:id="7621912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38821251">
      <w:bodyDiv w:val="1"/>
      <w:marLeft w:val="0"/>
      <w:marRight w:val="0"/>
      <w:marTop w:val="0"/>
      <w:marBottom w:val="0"/>
      <w:divBdr>
        <w:top w:val="none" w:sz="0" w:space="0" w:color="auto"/>
        <w:left w:val="none" w:sz="0" w:space="0" w:color="auto"/>
        <w:bottom w:val="none" w:sz="0" w:space="0" w:color="auto"/>
        <w:right w:val="none" w:sz="0" w:space="0" w:color="auto"/>
      </w:divBdr>
      <w:divsChild>
        <w:div w:id="797450994">
          <w:marLeft w:val="0"/>
          <w:marRight w:val="0"/>
          <w:marTop w:val="0"/>
          <w:marBottom w:val="0"/>
          <w:divBdr>
            <w:top w:val="none" w:sz="0" w:space="0" w:color="auto"/>
            <w:left w:val="none" w:sz="0" w:space="0" w:color="auto"/>
            <w:bottom w:val="none" w:sz="0" w:space="0" w:color="auto"/>
            <w:right w:val="none" w:sz="0" w:space="0" w:color="auto"/>
          </w:divBdr>
          <w:divsChild>
            <w:div w:id="731270367">
              <w:marLeft w:val="0"/>
              <w:marRight w:val="0"/>
              <w:marTop w:val="0"/>
              <w:marBottom w:val="0"/>
              <w:divBdr>
                <w:top w:val="none" w:sz="0" w:space="0" w:color="auto"/>
                <w:left w:val="none" w:sz="0" w:space="0" w:color="auto"/>
                <w:bottom w:val="none" w:sz="0" w:space="0" w:color="auto"/>
                <w:right w:val="none" w:sz="0" w:space="0" w:color="auto"/>
              </w:divBdr>
              <w:divsChild>
                <w:div w:id="588545808">
                  <w:marLeft w:val="0"/>
                  <w:marRight w:val="0"/>
                  <w:marTop w:val="0"/>
                  <w:marBottom w:val="0"/>
                  <w:divBdr>
                    <w:top w:val="none" w:sz="0" w:space="0" w:color="auto"/>
                    <w:left w:val="none" w:sz="0" w:space="0" w:color="auto"/>
                    <w:bottom w:val="none" w:sz="0" w:space="0" w:color="auto"/>
                    <w:right w:val="none" w:sz="0" w:space="0" w:color="auto"/>
                  </w:divBdr>
                  <w:divsChild>
                    <w:div w:id="441151737">
                      <w:marLeft w:val="0"/>
                      <w:marRight w:val="0"/>
                      <w:marTop w:val="0"/>
                      <w:marBottom w:val="0"/>
                      <w:divBdr>
                        <w:top w:val="none" w:sz="0" w:space="0" w:color="auto"/>
                        <w:left w:val="none" w:sz="0" w:space="0" w:color="auto"/>
                        <w:bottom w:val="none" w:sz="0" w:space="0" w:color="auto"/>
                        <w:right w:val="none" w:sz="0" w:space="0" w:color="auto"/>
                      </w:divBdr>
                      <w:divsChild>
                        <w:div w:id="1335375690">
                          <w:marLeft w:val="0"/>
                          <w:marRight w:val="0"/>
                          <w:marTop w:val="0"/>
                          <w:marBottom w:val="0"/>
                          <w:divBdr>
                            <w:top w:val="none" w:sz="0" w:space="0" w:color="auto"/>
                            <w:left w:val="none" w:sz="0" w:space="0" w:color="auto"/>
                            <w:bottom w:val="none" w:sz="0" w:space="0" w:color="auto"/>
                            <w:right w:val="none" w:sz="0" w:space="0" w:color="auto"/>
                          </w:divBdr>
                          <w:divsChild>
                            <w:div w:id="140582886">
                              <w:marLeft w:val="0"/>
                              <w:marRight w:val="0"/>
                              <w:marTop w:val="0"/>
                              <w:marBottom w:val="0"/>
                              <w:divBdr>
                                <w:top w:val="none" w:sz="0" w:space="0" w:color="auto"/>
                                <w:left w:val="none" w:sz="0" w:space="0" w:color="auto"/>
                                <w:bottom w:val="none" w:sz="0" w:space="0" w:color="auto"/>
                                <w:right w:val="none" w:sz="0" w:space="0" w:color="auto"/>
                              </w:divBdr>
                              <w:divsChild>
                                <w:div w:id="237522896">
                                  <w:marLeft w:val="0"/>
                                  <w:marRight w:val="0"/>
                                  <w:marTop w:val="0"/>
                                  <w:marBottom w:val="0"/>
                                  <w:divBdr>
                                    <w:top w:val="none" w:sz="0" w:space="0" w:color="auto"/>
                                    <w:left w:val="none" w:sz="0" w:space="0" w:color="auto"/>
                                    <w:bottom w:val="none" w:sz="0" w:space="0" w:color="auto"/>
                                    <w:right w:val="none" w:sz="0" w:space="0" w:color="auto"/>
                                  </w:divBdr>
                                  <w:divsChild>
                                    <w:div w:id="16544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73523">
      <w:bodyDiv w:val="1"/>
      <w:marLeft w:val="0"/>
      <w:marRight w:val="0"/>
      <w:marTop w:val="0"/>
      <w:marBottom w:val="0"/>
      <w:divBdr>
        <w:top w:val="none" w:sz="0" w:space="0" w:color="auto"/>
        <w:left w:val="none" w:sz="0" w:space="0" w:color="auto"/>
        <w:bottom w:val="none" w:sz="0" w:space="0" w:color="auto"/>
        <w:right w:val="none" w:sz="0" w:space="0" w:color="auto"/>
      </w:divBdr>
      <w:divsChild>
        <w:div w:id="625548071">
          <w:marLeft w:val="0"/>
          <w:marRight w:val="0"/>
          <w:marTop w:val="0"/>
          <w:marBottom w:val="0"/>
          <w:divBdr>
            <w:top w:val="none" w:sz="0" w:space="0" w:color="auto"/>
            <w:left w:val="none" w:sz="0" w:space="0" w:color="auto"/>
            <w:bottom w:val="none" w:sz="0" w:space="0" w:color="auto"/>
            <w:right w:val="none" w:sz="0" w:space="0" w:color="auto"/>
          </w:divBdr>
          <w:divsChild>
            <w:div w:id="267809257">
              <w:marLeft w:val="0"/>
              <w:marRight w:val="0"/>
              <w:marTop w:val="0"/>
              <w:marBottom w:val="0"/>
              <w:divBdr>
                <w:top w:val="none" w:sz="0" w:space="0" w:color="auto"/>
                <w:left w:val="none" w:sz="0" w:space="0" w:color="auto"/>
                <w:bottom w:val="none" w:sz="0" w:space="0" w:color="auto"/>
                <w:right w:val="none" w:sz="0" w:space="0" w:color="auto"/>
              </w:divBdr>
              <w:divsChild>
                <w:div w:id="1011301397">
                  <w:marLeft w:val="0"/>
                  <w:marRight w:val="0"/>
                  <w:marTop w:val="0"/>
                  <w:marBottom w:val="0"/>
                  <w:divBdr>
                    <w:top w:val="none" w:sz="0" w:space="0" w:color="auto"/>
                    <w:left w:val="none" w:sz="0" w:space="0" w:color="auto"/>
                    <w:bottom w:val="none" w:sz="0" w:space="0" w:color="auto"/>
                    <w:right w:val="none" w:sz="0" w:space="0" w:color="auto"/>
                  </w:divBdr>
                  <w:divsChild>
                    <w:div w:id="820581185">
                      <w:marLeft w:val="0"/>
                      <w:marRight w:val="0"/>
                      <w:marTop w:val="0"/>
                      <w:marBottom w:val="0"/>
                      <w:divBdr>
                        <w:top w:val="none" w:sz="0" w:space="0" w:color="auto"/>
                        <w:left w:val="none" w:sz="0" w:space="0" w:color="auto"/>
                        <w:bottom w:val="none" w:sz="0" w:space="0" w:color="auto"/>
                        <w:right w:val="none" w:sz="0" w:space="0" w:color="auto"/>
                      </w:divBdr>
                      <w:divsChild>
                        <w:div w:id="1662344677">
                          <w:marLeft w:val="0"/>
                          <w:marRight w:val="0"/>
                          <w:marTop w:val="0"/>
                          <w:marBottom w:val="0"/>
                          <w:divBdr>
                            <w:top w:val="none" w:sz="0" w:space="0" w:color="auto"/>
                            <w:left w:val="none" w:sz="0" w:space="0" w:color="auto"/>
                            <w:bottom w:val="none" w:sz="0" w:space="0" w:color="auto"/>
                            <w:right w:val="none" w:sz="0" w:space="0" w:color="auto"/>
                          </w:divBdr>
                          <w:divsChild>
                            <w:div w:id="1601913179">
                              <w:marLeft w:val="0"/>
                              <w:marRight w:val="0"/>
                              <w:marTop w:val="0"/>
                              <w:marBottom w:val="0"/>
                              <w:divBdr>
                                <w:top w:val="none" w:sz="0" w:space="0" w:color="auto"/>
                                <w:left w:val="none" w:sz="0" w:space="0" w:color="auto"/>
                                <w:bottom w:val="none" w:sz="0" w:space="0" w:color="auto"/>
                                <w:right w:val="none" w:sz="0" w:space="0" w:color="auto"/>
                              </w:divBdr>
                              <w:divsChild>
                                <w:div w:id="1607615098">
                                  <w:marLeft w:val="0"/>
                                  <w:marRight w:val="0"/>
                                  <w:marTop w:val="0"/>
                                  <w:marBottom w:val="0"/>
                                  <w:divBdr>
                                    <w:top w:val="none" w:sz="0" w:space="0" w:color="auto"/>
                                    <w:left w:val="none" w:sz="0" w:space="0" w:color="auto"/>
                                    <w:bottom w:val="none" w:sz="0" w:space="0" w:color="auto"/>
                                    <w:right w:val="none" w:sz="0" w:space="0" w:color="auto"/>
                                  </w:divBdr>
                                  <w:divsChild>
                                    <w:div w:id="3959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oleObject" Target="embeddings/oleObject1.bin"/><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TURİZMİN RUSYA EKONOMİSİ İÇİNDEKİ PAYI (GSMH)</a:t>
            </a:r>
          </a:p>
        </c:rich>
      </c:tx>
      <c:overlay val="0"/>
    </c:title>
    <c:autoTitleDeleted val="0"/>
    <c:view3D>
      <c:rotX val="30"/>
      <c:rotY val="120"/>
      <c:rAngAx val="0"/>
      <c:perspective val="60"/>
    </c:view3D>
    <c:floor>
      <c:thickness val="0"/>
    </c:floor>
    <c:sideWall>
      <c:thickness val="0"/>
    </c:sideWall>
    <c:backWall>
      <c:thickness val="0"/>
    </c:backWall>
    <c:plotArea>
      <c:layout/>
      <c:pie3DChart>
        <c:varyColors val="1"/>
        <c:ser>
          <c:idx val="0"/>
          <c:order val="0"/>
          <c:tx>
            <c:strRef>
              <c:f>Sayfa1!$B$1</c:f>
              <c:strCache>
                <c:ptCount val="1"/>
                <c:pt idx="0">
                  <c:v>TURİZMİN RUSYA EKONOMİSİ İÇİNDEKİ PAYI (GSMH)</c:v>
                </c:pt>
              </c:strCache>
            </c:strRef>
          </c:tx>
          <c:explosion val="25"/>
          <c:dLbls>
            <c:txPr>
              <a:bodyPr/>
              <a:lstStyle/>
              <a:p>
                <a:pPr>
                  <a:defRPr b="1"/>
                </a:pPr>
                <a:endParaRPr lang="tr-TR"/>
              </a:p>
            </c:txPr>
            <c:showLegendKey val="0"/>
            <c:showVal val="1"/>
            <c:showCatName val="1"/>
            <c:showSerName val="0"/>
            <c:showPercent val="0"/>
            <c:showBubbleSize val="0"/>
            <c:showLeaderLines val="1"/>
          </c:dLbls>
          <c:cat>
            <c:strRef>
              <c:f>Sayfa1!$A$2:$A$3</c:f>
              <c:strCache>
                <c:ptCount val="2"/>
                <c:pt idx="0">
                  <c:v>TURİZM</c:v>
                </c:pt>
                <c:pt idx="1">
                  <c:v>DİĞER</c:v>
                </c:pt>
              </c:strCache>
            </c:strRef>
          </c:cat>
          <c:val>
            <c:numRef>
              <c:f>Sayfa1!$B$2:$B$3</c:f>
              <c:numCache>
                <c:formatCode>0.00%</c:formatCode>
                <c:ptCount val="2"/>
                <c:pt idx="0">
                  <c:v>5.5E-2</c:v>
                </c:pt>
                <c:pt idx="1">
                  <c:v>0.94499999999999995</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RUSLARIN YILLARA GÖRE YURTDIŞI TURİZM HARCAMALARI</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(milyar $)</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depthPercent val="100"/>
      <c:rAngAx val="0"/>
      <c:perspective val="70"/>
    </c:view3D>
    <c:floor>
      <c:thickness val="0"/>
    </c:floor>
    <c:sideWall>
      <c:thickness val="0"/>
    </c:sideWall>
    <c:backWall>
      <c:thickness val="0"/>
    </c:backWall>
    <c:plotArea>
      <c:layout/>
      <c:line3DChart>
        <c:grouping val="standard"/>
        <c:varyColors val="0"/>
        <c:ser>
          <c:idx val="0"/>
          <c:order val="0"/>
          <c:tx>
            <c:strRef>
              <c:f>Sayfa1!$B$1</c:f>
              <c:strCache>
                <c:ptCount val="1"/>
                <c:pt idx="0">
                  <c:v>Seri 1</c:v>
                </c:pt>
              </c:strCache>
            </c:strRef>
          </c:tx>
          <c:spPr>
            <a:solidFill>
              <a:srgbClr val="FF0000"/>
            </a:solidFill>
          </c:spPr>
          <c:dLbls>
            <c:dLbl>
              <c:idx val="0"/>
              <c:layout>
                <c:manualLayout>
                  <c:x val="-2.0833333333333332E-2"/>
                  <c:y val="3.5714285714285712E-2"/>
                </c:manualLayout>
              </c:layout>
              <c:showLegendKey val="0"/>
              <c:showVal val="1"/>
              <c:showCatName val="0"/>
              <c:showSerName val="0"/>
              <c:showPercent val="0"/>
              <c:showBubbleSize val="0"/>
            </c:dLbl>
            <c:dLbl>
              <c:idx val="1"/>
              <c:layout>
                <c:manualLayout>
                  <c:x val="0"/>
                  <c:y val="3.5714285714285643E-2"/>
                </c:manualLayout>
              </c:layout>
              <c:showLegendKey val="0"/>
              <c:showVal val="1"/>
              <c:showCatName val="0"/>
              <c:showSerName val="0"/>
              <c:showPercent val="0"/>
              <c:showBubbleSize val="0"/>
            </c:dLbl>
            <c:dLbl>
              <c:idx val="2"/>
              <c:layout>
                <c:manualLayout>
                  <c:x val="0"/>
                  <c:y val="3.5714285714285643E-2"/>
                </c:manualLayout>
              </c:layout>
              <c:showLegendKey val="0"/>
              <c:showVal val="1"/>
              <c:showCatName val="0"/>
              <c:showSerName val="0"/>
              <c:showPercent val="0"/>
              <c:showBubbleSize val="0"/>
            </c:dLbl>
            <c:dLbl>
              <c:idx val="3"/>
              <c:layout>
                <c:manualLayout>
                  <c:x val="-4.2437781360066642E-17"/>
                  <c:y val="-2.7777777777777776E-2"/>
                </c:manualLayout>
              </c:layout>
              <c:showLegendKey val="0"/>
              <c:showVal val="1"/>
              <c:showCatName val="0"/>
              <c:showSerName val="0"/>
              <c:showPercent val="0"/>
              <c:showBubbleSize val="0"/>
            </c:dLbl>
            <c:dLbl>
              <c:idx val="4"/>
              <c:layout>
                <c:manualLayout>
                  <c:x val="2.3148148148148147E-3"/>
                  <c:y val="-2.3809523809523881E-2"/>
                </c:manualLayout>
              </c:layout>
              <c:showLegendKey val="0"/>
              <c:showVal val="1"/>
              <c:showCatName val="0"/>
              <c:showSerName val="0"/>
              <c:showPercent val="0"/>
              <c:showBubbleSize val="0"/>
            </c:dLbl>
            <c:dLbl>
              <c:idx val="5"/>
              <c:layout>
                <c:manualLayout>
                  <c:x val="6.9444444444444441E-3"/>
                  <c:y val="-2.3809523809523881E-2"/>
                </c:manualLayout>
              </c:layout>
              <c:showLegendKey val="0"/>
              <c:showVal val="1"/>
              <c:showCatName val="0"/>
              <c:showSerName val="0"/>
              <c:showPercent val="0"/>
              <c:showBubbleSize val="0"/>
            </c:dLbl>
            <c:dLbl>
              <c:idx val="6"/>
              <c:layout>
                <c:manualLayout>
                  <c:x val="4.6296296296295444E-3"/>
                  <c:y val="-3.968253968253968E-2"/>
                </c:manualLayout>
              </c:layout>
              <c:showLegendKey val="0"/>
              <c:showVal val="1"/>
              <c:showCatName val="0"/>
              <c:showSerName val="0"/>
              <c:showPercent val="0"/>
              <c:showBubbleSize val="0"/>
            </c:dLbl>
            <c:dLbl>
              <c:idx val="7"/>
              <c:layout>
                <c:manualLayout>
                  <c:x val="0"/>
                  <c:y val="-4.3650793650793725E-2"/>
                </c:manualLayout>
              </c:layout>
              <c:showLegendKey val="0"/>
              <c:showVal val="1"/>
              <c:showCatName val="0"/>
              <c:showSerName val="0"/>
              <c:showPercent val="0"/>
              <c:showBubbleSize val="0"/>
            </c:dLbl>
            <c:dLbl>
              <c:idx val="8"/>
              <c:layout>
                <c:manualLayout>
                  <c:x val="0"/>
                  <c:y val="-8.3333333333333329E-2"/>
                </c:manualLayout>
              </c:layout>
              <c:showLegendKey val="0"/>
              <c:showVal val="1"/>
              <c:showCatName val="0"/>
              <c:showSerName val="0"/>
              <c:showPercent val="0"/>
              <c:showBubbleSize val="0"/>
            </c:dLbl>
            <c:dLbl>
              <c:idx val="9"/>
              <c:layout>
                <c:manualLayout>
                  <c:x val="-6.9444444444444441E-3"/>
                  <c:y val="-7.53968253968253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Sayfa1!$A$2:$A$11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Sayfa1!$B$2:$B$11</c:f>
              <c:numCache>
                <c:formatCode>General</c:formatCode>
                <c:ptCount val="10"/>
                <c:pt idx="0">
                  <c:v>12.9</c:v>
                </c:pt>
                <c:pt idx="1">
                  <c:v>15.7</c:v>
                </c:pt>
                <c:pt idx="2">
                  <c:v>17.8</c:v>
                </c:pt>
                <c:pt idx="3">
                  <c:v>18.2</c:v>
                </c:pt>
                <c:pt idx="4">
                  <c:v>22.3</c:v>
                </c:pt>
                <c:pt idx="5">
                  <c:v>23.8</c:v>
                </c:pt>
                <c:pt idx="6">
                  <c:v>20.7</c:v>
                </c:pt>
                <c:pt idx="7">
                  <c:v>26.6</c:v>
                </c:pt>
                <c:pt idx="8">
                  <c:v>32.9</c:v>
                </c:pt>
                <c:pt idx="9">
                  <c:v>42.8</c:v>
                </c:pt>
              </c:numCache>
            </c:numRef>
          </c:val>
          <c:smooth val="0"/>
        </c:ser>
        <c:dLbls>
          <c:showLegendKey val="0"/>
          <c:showVal val="0"/>
          <c:showCatName val="0"/>
          <c:showSerName val="0"/>
          <c:showPercent val="0"/>
          <c:showBubbleSize val="0"/>
        </c:dLbls>
        <c:axId val="72256000"/>
        <c:axId val="136519680"/>
        <c:axId val="54017152"/>
      </c:line3DChart>
      <c:catAx>
        <c:axId val="72256000"/>
        <c:scaling>
          <c:orientation val="minMax"/>
        </c:scaling>
        <c:delete val="0"/>
        <c:axPos val="b"/>
        <c:numFmt formatCode="General" sourceLinked="1"/>
        <c:majorTickMark val="out"/>
        <c:minorTickMark val="none"/>
        <c:tickLblPos val="nextTo"/>
        <c:crossAx val="136519680"/>
        <c:crosses val="autoZero"/>
        <c:auto val="1"/>
        <c:lblAlgn val="ctr"/>
        <c:lblOffset val="100"/>
        <c:noMultiLvlLbl val="0"/>
      </c:catAx>
      <c:valAx>
        <c:axId val="136519680"/>
        <c:scaling>
          <c:orientation val="minMax"/>
        </c:scaling>
        <c:delete val="0"/>
        <c:axPos val="l"/>
        <c:majorGridlines/>
        <c:numFmt formatCode="General" sourceLinked="1"/>
        <c:majorTickMark val="out"/>
        <c:minorTickMark val="none"/>
        <c:tickLblPos val="nextTo"/>
        <c:crossAx val="72256000"/>
        <c:crosses val="autoZero"/>
        <c:crossBetween val="between"/>
      </c:valAx>
      <c:serAx>
        <c:axId val="54017152"/>
        <c:scaling>
          <c:orientation val="minMax"/>
        </c:scaling>
        <c:delete val="1"/>
        <c:axPos val="b"/>
        <c:majorTickMark val="out"/>
        <c:minorTickMark val="none"/>
        <c:tickLblPos val="nextTo"/>
        <c:crossAx val="136519680"/>
        <c:crosses val="autoZero"/>
      </c:ser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TURİSTİK AMAÇLI YURTDIŞINA ÇIKIŞLARDA RUSLAR İÇİN İLK 10 ÜLKE (2013)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TURİSTİK AMAÇLI YURTDIŞINA ÇIKIŞLARDA RUSLAR İÇİN İLK 10 ÜLKE (2013)</c:v>
                </c:pt>
              </c:strCache>
            </c:strRef>
          </c:tx>
          <c:explosion val="25"/>
          <c:dLbls>
            <c:txPr>
              <a:bodyPr/>
              <a:lstStyle/>
              <a:p>
                <a:pPr>
                  <a:defRPr b="1"/>
                </a:pPr>
                <a:endParaRPr lang="tr-TR"/>
              </a:p>
            </c:txPr>
            <c:showLegendKey val="0"/>
            <c:showVal val="1"/>
            <c:showCatName val="1"/>
            <c:showSerName val="0"/>
            <c:showPercent val="0"/>
            <c:showBubbleSize val="0"/>
            <c:showLeaderLines val="1"/>
          </c:dLbls>
          <c:cat>
            <c:strRef>
              <c:f>Sayfa1!$A$2:$A$13</c:f>
              <c:strCache>
                <c:ptCount val="10"/>
                <c:pt idx="0">
                  <c:v>Türkiye </c:v>
                </c:pt>
                <c:pt idx="1">
                  <c:v>Mısır</c:v>
                </c:pt>
                <c:pt idx="2">
                  <c:v>Yunanistan</c:v>
                </c:pt>
                <c:pt idx="3">
                  <c:v>Çin</c:v>
                </c:pt>
                <c:pt idx="4">
                  <c:v>Tayland</c:v>
                </c:pt>
                <c:pt idx="5">
                  <c:v>İspanya</c:v>
                </c:pt>
                <c:pt idx="6">
                  <c:v>Finlandiya </c:v>
                </c:pt>
                <c:pt idx="7">
                  <c:v>Almanya</c:v>
                </c:pt>
                <c:pt idx="8">
                  <c:v>İtalya</c:v>
                </c:pt>
                <c:pt idx="9">
                  <c:v>BAE</c:v>
                </c:pt>
              </c:strCache>
            </c:strRef>
          </c:cat>
          <c:val>
            <c:numRef>
              <c:f>Sayfa1!$B$2:$B$13</c:f>
              <c:numCache>
                <c:formatCode>#,##0</c:formatCode>
                <c:ptCount val="12"/>
                <c:pt idx="0">
                  <c:v>3078563</c:v>
                </c:pt>
                <c:pt idx="1">
                  <c:v>1909240</c:v>
                </c:pt>
                <c:pt idx="2">
                  <c:v>1175629</c:v>
                </c:pt>
                <c:pt idx="3">
                  <c:v>1067542</c:v>
                </c:pt>
                <c:pt idx="4">
                  <c:v>1034977</c:v>
                </c:pt>
                <c:pt idx="5">
                  <c:v>1012811</c:v>
                </c:pt>
                <c:pt idx="6">
                  <c:v>904730</c:v>
                </c:pt>
                <c:pt idx="7">
                  <c:v>830907</c:v>
                </c:pt>
                <c:pt idx="8">
                  <c:v>725841</c:v>
                </c:pt>
                <c:pt idx="9">
                  <c:v>653384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RUS VATANDAŞLARININ </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ORTALAMA</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TATİL SÜRESİ</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RUS VATANDAŞLARININ GECELEME ORANLARI</c:v>
                </c:pt>
              </c:strCache>
            </c:strRef>
          </c:tx>
          <c:explosion val="25"/>
          <c:dLbls>
            <c:dLbl>
              <c:idx val="0"/>
              <c:layout>
                <c:manualLayout>
                  <c:x val="-1.8251585739282591E-2"/>
                  <c:y val="3.8972401177125588E-4"/>
                </c:manualLayout>
              </c:layout>
              <c:showLegendKey val="0"/>
              <c:showVal val="1"/>
              <c:showCatName val="0"/>
              <c:showSerName val="0"/>
              <c:showPercent val="0"/>
              <c:showBubbleSize val="0"/>
            </c:dLbl>
            <c:dLbl>
              <c:idx val="1"/>
              <c:layout>
                <c:manualLayout>
                  <c:x val="-1.1412583843686206E-2"/>
                  <c:y val="9.8600811262228583E-2"/>
                </c:manualLayout>
              </c:layout>
              <c:showLegendKey val="0"/>
              <c:showVal val="1"/>
              <c:showCatName val="0"/>
              <c:showSerName val="0"/>
              <c:showPercent val="0"/>
              <c:showBubbleSize val="0"/>
            </c:dLbl>
            <c:dLbl>
              <c:idx val="2"/>
              <c:layout>
                <c:manualLayout>
                  <c:x val="-2.4682852143482065E-3"/>
                  <c:y val="-1.9733715103793844E-2"/>
                </c:manualLayout>
              </c:layout>
              <c:showLegendKey val="0"/>
              <c:showVal val="1"/>
              <c:showCatName val="0"/>
              <c:showSerName val="0"/>
              <c:showPercent val="0"/>
              <c:showBubbleSize val="0"/>
            </c:dLbl>
            <c:dLbl>
              <c:idx val="3"/>
              <c:layout>
                <c:manualLayout>
                  <c:x val="6.7847769028871394E-3"/>
                  <c:y val="-1.2170205996977688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1"/>
          </c:dLbls>
          <c:cat>
            <c:strRef>
              <c:f>Sayfa1!$A$2:$A$7</c:f>
              <c:strCache>
                <c:ptCount val="6"/>
                <c:pt idx="0">
                  <c:v>1 GECE</c:v>
                </c:pt>
                <c:pt idx="1">
                  <c:v>2-3 GECE</c:v>
                </c:pt>
                <c:pt idx="2">
                  <c:v>4-6 GECE</c:v>
                </c:pt>
                <c:pt idx="3">
                  <c:v>7-9 GECE</c:v>
                </c:pt>
                <c:pt idx="4">
                  <c:v>10-12 GECE</c:v>
                </c:pt>
                <c:pt idx="5">
                  <c:v>12 GECE ÜZERİ</c:v>
                </c:pt>
              </c:strCache>
            </c:strRef>
          </c:cat>
          <c:val>
            <c:numRef>
              <c:f>Sayfa1!$B$2:$B$7</c:f>
              <c:numCache>
                <c:formatCode>0%</c:formatCode>
                <c:ptCount val="6"/>
                <c:pt idx="0">
                  <c:v>0.08</c:v>
                </c:pt>
                <c:pt idx="1">
                  <c:v>0.5</c:v>
                </c:pt>
                <c:pt idx="2">
                  <c:v>0.23</c:v>
                </c:pt>
                <c:pt idx="3">
                  <c:v>0.11</c:v>
                </c:pt>
                <c:pt idx="4">
                  <c:v>0.04</c:v>
                </c:pt>
                <c:pt idx="5">
                  <c:v>0.03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tr-TR"/>
        </a:p>
      </c:txPr>
    </c:legend>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SON 10 YILDA RUSYA'DAN TÜRKİYE'YE GELEN TURİST SAYISI</a:t>
            </a:r>
          </a:p>
        </c:rich>
      </c:tx>
      <c:overlay val="0"/>
    </c:title>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SON 10 YILDA RUSYA'DAN TÜRKİYE'YE GELEN TURİST SAYISI</c:v>
                </c:pt>
              </c:strCache>
            </c:strRef>
          </c:tx>
          <c:spPr>
            <a:solidFill>
              <a:srgbClr val="FF0000"/>
            </a:solidFill>
          </c:spPr>
          <c:invertIfNegative val="0"/>
          <c:dLbls>
            <c:dLbl>
              <c:idx val="1"/>
              <c:layout>
                <c:manualLayout>
                  <c:x val="-4.2437781360066642E-17"/>
                  <c:y val="-1.5873015873015799E-2"/>
                </c:manualLayout>
              </c:layout>
              <c:showLegendKey val="0"/>
              <c:showVal val="1"/>
              <c:showCatName val="0"/>
              <c:showSerName val="0"/>
              <c:showPercent val="0"/>
              <c:showBubbleSize val="0"/>
            </c:dLbl>
            <c:dLbl>
              <c:idx val="2"/>
              <c:layout>
                <c:manualLayout>
                  <c:x val="1.6203703703703661E-2"/>
                  <c:y val="-3.1746031746031744E-2"/>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dLbl>
              <c:idx val="4"/>
              <c:layout>
                <c:manualLayout>
                  <c:x val="0"/>
                  <c:y val="-1.5873015873015945E-2"/>
                </c:manualLayout>
              </c:layout>
              <c:showLegendKey val="0"/>
              <c:showVal val="1"/>
              <c:showCatName val="0"/>
              <c:showSerName val="0"/>
              <c:showPercent val="0"/>
              <c:showBubbleSize val="0"/>
            </c:dLbl>
            <c:dLbl>
              <c:idx val="5"/>
              <c:layout>
                <c:manualLayout>
                  <c:x val="9.2592592592592587E-3"/>
                  <c:y val="3.968253968253968E-3"/>
                </c:manualLayout>
              </c:layout>
              <c:showLegendKey val="0"/>
              <c:showVal val="1"/>
              <c:showCatName val="0"/>
              <c:showSerName val="0"/>
              <c:showPercent val="0"/>
              <c:showBubbleSize val="0"/>
            </c:dLbl>
            <c:dLbl>
              <c:idx val="6"/>
              <c:layout>
                <c:manualLayout>
                  <c:x val="-8.4875562720133283E-17"/>
                  <c:y val="-7.9365079365079361E-3"/>
                </c:manualLayout>
              </c:layout>
              <c:showLegendKey val="0"/>
              <c:showVal val="1"/>
              <c:showCatName val="0"/>
              <c:showSerName val="0"/>
              <c:showPercent val="0"/>
              <c:showBubbleSize val="0"/>
            </c:dLbl>
            <c:dLbl>
              <c:idx val="7"/>
              <c:layout>
                <c:manualLayout>
                  <c:x val="9.2592592592592587E-3"/>
                  <c:y val="-1.1904761904761977E-2"/>
                </c:manualLayout>
              </c:layout>
              <c:showLegendKey val="0"/>
              <c:showVal val="1"/>
              <c:showCatName val="0"/>
              <c:showSerName val="0"/>
              <c:showPercent val="0"/>
              <c:showBubbleSize val="0"/>
            </c:dLbl>
            <c:dLbl>
              <c:idx val="8"/>
              <c:layout>
                <c:manualLayout>
                  <c:x val="6.9444444444442749E-3"/>
                  <c:y val="-5.9523809523809562E-2"/>
                </c:manualLayout>
              </c:layout>
              <c:showLegendKey val="0"/>
              <c:showVal val="1"/>
              <c:showCatName val="0"/>
              <c:showSerName val="0"/>
              <c:showPercent val="0"/>
              <c:showBubbleSize val="0"/>
            </c:dLbl>
            <c:dLbl>
              <c:idx val="9"/>
              <c:layout>
                <c:manualLayout>
                  <c:x val="2.5462962962962962E-2"/>
                  <c:y val="-3.5714285714285712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1605006</c:v>
                </c:pt>
                <c:pt idx="1">
                  <c:v>1864682</c:v>
                </c:pt>
                <c:pt idx="2">
                  <c:v>1853442</c:v>
                </c:pt>
                <c:pt idx="3">
                  <c:v>2465336</c:v>
                </c:pt>
                <c:pt idx="4">
                  <c:v>2879278</c:v>
                </c:pt>
                <c:pt idx="5">
                  <c:v>2694733</c:v>
                </c:pt>
                <c:pt idx="6">
                  <c:v>3107043</c:v>
                </c:pt>
                <c:pt idx="7">
                  <c:v>3468214</c:v>
                </c:pt>
                <c:pt idx="8">
                  <c:v>3599925</c:v>
                </c:pt>
                <c:pt idx="9">
                  <c:v>4269306</c:v>
                </c:pt>
              </c:numCache>
            </c:numRef>
          </c:val>
        </c:ser>
        <c:dLbls>
          <c:showLegendKey val="0"/>
          <c:showVal val="0"/>
          <c:showCatName val="0"/>
          <c:showSerName val="0"/>
          <c:showPercent val="0"/>
          <c:showBubbleSize val="0"/>
        </c:dLbls>
        <c:gapWidth val="150"/>
        <c:shape val="box"/>
        <c:axId val="72256512"/>
        <c:axId val="136522560"/>
        <c:axId val="0"/>
      </c:bar3DChart>
      <c:catAx>
        <c:axId val="72256512"/>
        <c:scaling>
          <c:orientation val="minMax"/>
        </c:scaling>
        <c:delete val="0"/>
        <c:axPos val="b"/>
        <c:numFmt formatCode="General" sourceLinked="1"/>
        <c:majorTickMark val="out"/>
        <c:minorTickMark val="none"/>
        <c:tickLblPos val="nextTo"/>
        <c:txPr>
          <a:bodyPr/>
          <a:lstStyle/>
          <a:p>
            <a:pPr>
              <a:defRPr b="1"/>
            </a:pPr>
            <a:endParaRPr lang="tr-TR"/>
          </a:p>
        </c:txPr>
        <c:crossAx val="136522560"/>
        <c:crosses val="autoZero"/>
        <c:auto val="1"/>
        <c:lblAlgn val="ctr"/>
        <c:lblOffset val="100"/>
        <c:noMultiLvlLbl val="0"/>
      </c:catAx>
      <c:valAx>
        <c:axId val="136522560"/>
        <c:scaling>
          <c:orientation val="minMax"/>
        </c:scaling>
        <c:delete val="0"/>
        <c:axPos val="l"/>
        <c:majorGridlines/>
        <c:numFmt formatCode="General" sourceLinked="1"/>
        <c:majorTickMark val="out"/>
        <c:minorTickMark val="none"/>
        <c:tickLblPos val="nextTo"/>
        <c:crossAx val="72256512"/>
        <c:crosses val="autoZero"/>
        <c:crossBetween val="between"/>
      </c:val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RUS VATANDAŞLARININ TÜRKİYE'DE TERCİH ETTİKLERİ KONAKLAMA ÇEŞİDİ</a:t>
            </a:r>
          </a:p>
        </c:rich>
      </c:tx>
      <c:overlay val="0"/>
    </c:title>
    <c:autoTitleDeleted val="0"/>
    <c:view3D>
      <c:rotX val="30"/>
      <c:rotY val="230"/>
      <c:rAngAx val="0"/>
      <c:perspective val="30"/>
    </c:view3D>
    <c:floor>
      <c:thickness val="0"/>
    </c:floor>
    <c:sideWall>
      <c:thickness val="0"/>
    </c:sideWall>
    <c:backWall>
      <c:thickness val="0"/>
    </c:backWall>
    <c:plotArea>
      <c:layout>
        <c:manualLayout>
          <c:layoutTarget val="inner"/>
          <c:xMode val="edge"/>
          <c:yMode val="edge"/>
          <c:x val="8.7962962962962965E-2"/>
          <c:y val="0.25154980627421575"/>
          <c:w val="0.89583333333333337"/>
          <c:h val="0.65543213348331475"/>
        </c:manualLayout>
      </c:layout>
      <c:pie3DChart>
        <c:varyColors val="1"/>
        <c:ser>
          <c:idx val="0"/>
          <c:order val="0"/>
          <c:tx>
            <c:strRef>
              <c:f>Sayfa1!$B$1</c:f>
              <c:strCache>
                <c:ptCount val="1"/>
                <c:pt idx="0">
                  <c:v>RUS VATANDAŞLARININ TÜRKİYE'DE TERCİH ETTİKLERİ KONAKLAMA ÇEŞİDİ</c:v>
                </c:pt>
              </c:strCache>
            </c:strRef>
          </c:tx>
          <c:explosion val="25"/>
          <c:dLbls>
            <c:dLbl>
              <c:idx val="3"/>
              <c:layout>
                <c:manualLayout>
                  <c:x val="0.46954624161563135"/>
                  <c:y val="-3.3333333333333335E-3"/>
                </c:manualLayout>
              </c:layout>
              <c:showLegendKey val="0"/>
              <c:showVal val="0"/>
              <c:showCatName val="1"/>
              <c:showSerName val="0"/>
              <c:showPercent val="1"/>
              <c:showBubbleSize val="0"/>
            </c:dLbl>
            <c:dLbl>
              <c:idx val="4"/>
              <c:layout>
                <c:manualLayout>
                  <c:x val="0.34114729148439776"/>
                  <c:y val="-3.3333333333333335E-3"/>
                </c:manualLayout>
              </c:layout>
              <c:showLegendKey val="0"/>
              <c:showVal val="0"/>
              <c:showCatName val="1"/>
              <c:showSerName val="0"/>
              <c:showPercent val="1"/>
              <c:showBubbleSize val="0"/>
            </c:dLbl>
            <c:dLbl>
              <c:idx val="5"/>
              <c:layout>
                <c:manualLayout>
                  <c:x val="3.1531787693205061E-2"/>
                  <c:y val="-0.14438476440444944"/>
                </c:manualLayout>
              </c:layout>
              <c:showLegendKey val="0"/>
              <c:showVal val="0"/>
              <c:showCatName val="1"/>
              <c:showSerName val="0"/>
              <c:showPercent val="1"/>
              <c:showBubbleSize val="0"/>
            </c:dLbl>
            <c:dLbl>
              <c:idx val="6"/>
              <c:layout>
                <c:manualLayout>
                  <c:x val="7.5138797754447359E-2"/>
                  <c:y val="-3.3333333333333335E-3"/>
                </c:manualLayout>
              </c:layout>
              <c:showLegendKey val="0"/>
              <c:showVal val="0"/>
              <c:showCatName val="1"/>
              <c:showSerName val="0"/>
              <c:showPercent val="1"/>
              <c:showBubbleSize val="0"/>
            </c:dLbl>
            <c:dLbl>
              <c:idx val="8"/>
              <c:layout>
                <c:manualLayout>
                  <c:x val="-4.9027777777777781E-2"/>
                  <c:y val="7.46822272215973E-2"/>
                </c:manualLayout>
              </c:layout>
              <c:showLegendKey val="0"/>
              <c:showVal val="0"/>
              <c:showCatName val="1"/>
              <c:showSerName val="0"/>
              <c:showPercent val="1"/>
              <c:showBubbleSize val="0"/>
            </c:dLbl>
            <c:dLbl>
              <c:idx val="10"/>
              <c:layout>
                <c:manualLayout>
                  <c:x val="-0.12323427019539224"/>
                  <c:y val="-0.29428977627796526"/>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Sayfa1!$A$2:$A$12</c:f>
              <c:strCache>
                <c:ptCount val="11"/>
                <c:pt idx="0">
                  <c:v>Otel</c:v>
                </c:pt>
                <c:pt idx="1">
                  <c:v>Motel</c:v>
                </c:pt>
                <c:pt idx="2">
                  <c:v>Tatil Köyü</c:v>
                </c:pt>
                <c:pt idx="3">
                  <c:v>Pansiyon</c:v>
                </c:pt>
                <c:pt idx="4">
                  <c:v>Kamp / karavan</c:v>
                </c:pt>
                <c:pt idx="5">
                  <c:v>Hostel, Gençlik ve Tatil Kampı</c:v>
                </c:pt>
                <c:pt idx="6">
                  <c:v>Kendi evi</c:v>
                </c:pt>
                <c:pt idx="7">
                  <c:v>Kiralık ev</c:v>
                </c:pt>
                <c:pt idx="8">
                  <c:v>Arkadaş,Akraba evi</c:v>
                </c:pt>
                <c:pt idx="9">
                  <c:v>Ulaşım aracında( Kruvaziyer yat, tren, tır)</c:v>
                </c:pt>
                <c:pt idx="10">
                  <c:v>Diğer</c:v>
                </c:pt>
              </c:strCache>
            </c:strRef>
          </c:cat>
          <c:val>
            <c:numRef>
              <c:f>Sayfa1!$B$2:$B$12</c:f>
              <c:numCache>
                <c:formatCode>General</c:formatCode>
                <c:ptCount val="11"/>
                <c:pt idx="0">
                  <c:v>19497073</c:v>
                </c:pt>
                <c:pt idx="1">
                  <c:v>721694</c:v>
                </c:pt>
                <c:pt idx="2">
                  <c:v>3289124</c:v>
                </c:pt>
                <c:pt idx="3">
                  <c:v>275209</c:v>
                </c:pt>
                <c:pt idx="4">
                  <c:v>12078</c:v>
                </c:pt>
                <c:pt idx="5">
                  <c:v>22861</c:v>
                </c:pt>
                <c:pt idx="6">
                  <c:v>535759</c:v>
                </c:pt>
                <c:pt idx="7">
                  <c:v>388799</c:v>
                </c:pt>
                <c:pt idx="8">
                  <c:v>1873116</c:v>
                </c:pt>
                <c:pt idx="9">
                  <c:v>68948</c:v>
                </c:pt>
                <c:pt idx="10">
                  <c:v>87123</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B7BFC-665E-4039-86CC-82DA992D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1969</Words>
  <Characters>11227</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fatih.gonul</dc:creator>
  <cp:lastModifiedBy>fatih.gonul</cp:lastModifiedBy>
  <cp:revision>2</cp:revision>
  <cp:lastPrinted>2014-03-25T10:08:00Z</cp:lastPrinted>
  <dcterms:created xsi:type="dcterms:W3CDTF">2014-03-25T10:54:00Z</dcterms:created>
  <dcterms:modified xsi:type="dcterms:W3CDTF">2014-03-25T10:54:00Z</dcterms:modified>
</cp:coreProperties>
</file>