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10" w:rsidRPr="00745E10" w:rsidRDefault="00745E10" w:rsidP="00745E10">
      <w:pPr>
        <w:shd w:val="clear" w:color="auto" w:fill="FFFFFF"/>
        <w:spacing w:after="0" w:line="240" w:lineRule="auto"/>
        <w:ind w:left="5652" w:right="10" w:firstLine="720"/>
        <w:jc w:val="both"/>
        <w:rPr>
          <w:rFonts w:ascii="Times New Roman" w:eastAsia="Times New Roman" w:hAnsi="Times New Roman" w:cs="Times New Roman"/>
          <w:spacing w:val="-2"/>
          <w:sz w:val="24"/>
          <w:szCs w:val="24"/>
          <w:lang w:eastAsia="tr-TR"/>
        </w:rPr>
      </w:pPr>
      <w:bookmarkStart w:id="0" w:name="_GoBack"/>
      <w:r>
        <w:rPr>
          <w:rFonts w:ascii="Times New Roman" w:eastAsia="Times New Roman" w:hAnsi="Times New Roman" w:cs="Times New Roman"/>
          <w:b/>
          <w:spacing w:val="-2"/>
          <w:sz w:val="24"/>
          <w:szCs w:val="24"/>
          <w:lang w:eastAsia="tr-TR"/>
        </w:rPr>
        <w:t>CEZAİ HÜKÜMLER</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9"/>
        <w:gridCol w:w="4217"/>
      </w:tblGrid>
      <w:tr w:rsidR="00745E10" w:rsidRPr="00745E10" w:rsidTr="00745E10">
        <w:trPr>
          <w:trHeight w:val="269"/>
        </w:trPr>
        <w:tc>
          <w:tcPr>
            <w:tcW w:w="10809" w:type="dxa"/>
          </w:tcPr>
          <w:bookmarkEnd w:id="0"/>
          <w:p w:rsidR="00745E10" w:rsidRPr="00745E10" w:rsidRDefault="00D01396" w:rsidP="00745E10">
            <w:pPr>
              <w:spacing w:after="0" w:line="240" w:lineRule="auto"/>
              <w:ind w:right="10"/>
              <w:jc w:val="center"/>
              <w:rPr>
                <w:rFonts w:ascii="Times New Roman" w:eastAsia="Times New Roman" w:hAnsi="Times New Roman" w:cs="Times New Roman"/>
                <w:b/>
                <w:spacing w:val="-2"/>
                <w:sz w:val="24"/>
                <w:szCs w:val="24"/>
                <w:lang w:eastAsia="tr-TR"/>
              </w:rPr>
            </w:pPr>
            <w:r>
              <w:rPr>
                <w:rFonts w:ascii="Times New Roman" w:eastAsia="Times New Roman" w:hAnsi="Times New Roman" w:cs="Times New Roman"/>
                <w:b/>
                <w:spacing w:val="-2"/>
                <w:sz w:val="24"/>
                <w:szCs w:val="24"/>
                <w:lang w:eastAsia="tr-TR"/>
              </w:rPr>
              <w:t>KANUN MADDESİ</w:t>
            </w:r>
          </w:p>
        </w:tc>
        <w:tc>
          <w:tcPr>
            <w:tcW w:w="4217" w:type="dxa"/>
          </w:tcPr>
          <w:p w:rsidR="00745E10" w:rsidRPr="00745E10" w:rsidRDefault="00D01396" w:rsidP="00745E10">
            <w:pPr>
              <w:spacing w:after="0" w:line="240" w:lineRule="auto"/>
              <w:ind w:right="10"/>
              <w:rPr>
                <w:rFonts w:ascii="Times New Roman" w:eastAsia="Times New Roman" w:hAnsi="Times New Roman" w:cs="Times New Roman"/>
                <w:b/>
                <w:spacing w:val="-2"/>
                <w:sz w:val="24"/>
                <w:szCs w:val="24"/>
                <w:lang w:eastAsia="tr-TR"/>
              </w:rPr>
            </w:pPr>
            <w:r>
              <w:rPr>
                <w:rFonts w:ascii="Times New Roman" w:eastAsia="Times New Roman" w:hAnsi="Times New Roman" w:cs="Times New Roman"/>
                <w:b/>
                <w:spacing w:val="-2"/>
                <w:sz w:val="24"/>
                <w:szCs w:val="24"/>
                <w:lang w:eastAsia="tr-TR"/>
              </w:rPr>
              <w:t xml:space="preserve">CEZAİ MÜEYYİDE </w:t>
            </w:r>
          </w:p>
        </w:tc>
      </w:tr>
      <w:tr w:rsidR="00745E10" w:rsidRPr="00745E10" w:rsidTr="00745E10">
        <w:trPr>
          <w:trHeight w:val="8478"/>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Bilgi verme yükümlülüğü</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MADDE 3 - (1) Hizmet sağlayıcı, elektronik iletişim araçlarıyla bir sözleşmenin yapılmasından önce;</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a) Alıcıların kolayca ulaşabileceği şekilde ve güncel olarak tanıtıcı bilgilerini,</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b) Sözleşmenin kurulabilmesi için izlenecek teknik adımlara ilişkin bilgileri,</w:t>
            </w: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c) Sözleşme metninin sözleşmenin kurulmasından sonra, hizmet sağlayıcı tarafından saklanıp saklanmayacağı ile bu sözleşmeye alıcının daha sonra erişiminin mümkün olup olmayacağı ve bu erişimin ne kadar süreyle sağlanacağına ilişkin bilgileri,</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ç) Veri girişindeki hataların açık ve anlaşılır bir şekilde belirlenmesine ve düzeltilmesine ilişkin teknik araçlara ilişkin bilgileri,</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d) Uygulanan gizlilik kuralları ve varsa alternatif uyuşmazlık çözüm mekanizmalarına ilişkin bilgileri,</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proofErr w:type="gramStart"/>
            <w:r>
              <w:rPr>
                <w:rFonts w:ascii="Tahoma" w:hAnsi="Tahoma" w:cs="Tahoma"/>
              </w:rPr>
              <w:t>sunar</w:t>
            </w:r>
            <w:proofErr w:type="gramEnd"/>
            <w:r>
              <w:rPr>
                <w:rFonts w:ascii="Tahoma" w:hAnsi="Tahoma" w:cs="Tahoma"/>
              </w:rPr>
              <w:t>.</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(2) Hizmet sağlayıcı, varsa mensubu olduğu meslek odası ile meslekle ilgili davranış kurallarını ve bunlara elektronik olarak ne şekilde ulaşılabileceğini belirtir.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(3) Tarafların tüketici olmadığı hâllerde taraflar, birinci ve ikinci fıkralardaki düzenlemelerin aksini kararlaştırabilirler.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 xml:space="preserve">(4) Hizmet sağlayıcı, sözleşme hükümlerinin ve genel işlem şartlarının alıcı tarafından saklanmasına </w:t>
            </w:r>
            <w:proofErr w:type="gramStart"/>
            <w:r>
              <w:rPr>
                <w:rFonts w:ascii="Tahoma" w:hAnsi="Tahoma" w:cs="Tahoma"/>
              </w:rPr>
              <w:t>imkan</w:t>
            </w:r>
            <w:proofErr w:type="gramEnd"/>
            <w:r>
              <w:rPr>
                <w:rFonts w:ascii="Tahoma" w:hAnsi="Tahoma" w:cs="Tahoma"/>
              </w:rPr>
              <w:t xml:space="preserve"> sağlar.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(5) Birinci ve ikinci fıkralar, münhasıran elektronik posta yoluyla veya benzeri bireysel iletişim araçlarıyla yapılan sözleşmelere uygulanmaz.</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D01396"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p>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bin Türk lirasından beş bin Türk lirasına kadar idari para cezası verilir.</w:t>
            </w:r>
          </w:p>
        </w:tc>
      </w:tr>
      <w:tr w:rsidR="00745E10" w:rsidRPr="00745E10" w:rsidTr="00745E10">
        <w:trPr>
          <w:trHeight w:val="1061"/>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Ticari elektronik ileti gönderme şartı</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 xml:space="preserve">MADDE 6 - (1) Ticari elektronik iletiler, alıcılara ancak önceden onayları alınmak kaydıyla gönderilebilir. Bu onay, yazılı olarak veya her türlü elektronik iletişim araçlarıyla alınabilir. Kendisiyle iletişime geçilmesi </w:t>
            </w:r>
            <w:r>
              <w:rPr>
                <w:rFonts w:ascii="Tahoma" w:hAnsi="Tahoma" w:cs="Tahoma"/>
              </w:rPr>
              <w:lastRenderedPageBreak/>
              <w:t>amacıyla alıcının iletişim bilgilerini vermesi hâlinde, temin edilen mal veya hizmetlere ilişkin değişiklik, kullanım ve bakıma yönelik ticari elektronik iletiler için ayrıca onay alınmaz.</w:t>
            </w: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lastRenderedPageBreak/>
              <w:t>Bu madde hükmüne aykırı hareket eden hizmet sağlayıcılara ve aracı hizmet sağlayıcılara bin Türk lirasından beş bin Türk lirasına kadar idari para cezası verilir.</w:t>
            </w:r>
          </w:p>
        </w:tc>
      </w:tr>
      <w:tr w:rsidR="00745E10" w:rsidRPr="00745E10" w:rsidTr="00745E10">
        <w:trPr>
          <w:trHeight w:val="1330"/>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lastRenderedPageBreak/>
              <w:t>Ticari elektronik iletinin içeriği</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MADDE 7 - (1) Ticari elektronik iletinin içeriği, alıcıdan alınan onaya uygun olmalıdır.</w:t>
            </w:r>
          </w:p>
          <w:p w:rsidR="00745E10" w:rsidRDefault="00745E10" w:rsidP="00745E10">
            <w:pPr>
              <w:autoSpaceDE w:val="0"/>
              <w:autoSpaceDN w:val="0"/>
              <w:adjustRightInd w:val="0"/>
              <w:spacing w:after="0" w:line="240" w:lineRule="auto"/>
              <w:rPr>
                <w:rFonts w:ascii="Tahoma" w:hAnsi="Tahoma" w:cs="Tahoma"/>
              </w:rPr>
            </w:pP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D01396" w:rsidRDefault="00D01396" w:rsidP="00745E10">
            <w:pPr>
              <w:spacing w:after="0" w:line="240" w:lineRule="auto"/>
              <w:ind w:right="10"/>
              <w:jc w:val="both"/>
              <w:rPr>
                <w:rFonts w:ascii="Times New Roman" w:eastAsia="Times New Roman" w:hAnsi="Times New Roman" w:cs="Times New Roman"/>
                <w:b/>
                <w:spacing w:val="-2"/>
                <w:sz w:val="24"/>
                <w:szCs w:val="24"/>
                <w:lang w:eastAsia="tr-TR"/>
              </w:rPr>
            </w:pPr>
          </w:p>
          <w:p w:rsidR="00745E10" w:rsidRPr="00D01396" w:rsidRDefault="00D01396" w:rsidP="00D01396">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bin Türk lirasından beş bin Türk lirasına kadar idari para cezası verilir.</w:t>
            </w:r>
          </w:p>
        </w:tc>
      </w:tr>
      <w:tr w:rsidR="00745E10" w:rsidRPr="00745E10" w:rsidTr="00745E10">
        <w:trPr>
          <w:trHeight w:val="269"/>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Ticari iletişime ilişkin esaslar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MADDE 5 - (1) Ticari iletişimde:</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a) Ticari iletişimin ve bu iletişimin adına yapıldığı gerçek ya da tüzel kişinin açıkça belirlenebilir olmasını sağlayan bilgiler sunulmalıdır.</w:t>
            </w: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bin Türk lirasından on bin Türk lirasına kadar idari para cezası verilir.</w:t>
            </w:r>
          </w:p>
        </w:tc>
      </w:tr>
      <w:tr w:rsidR="00745E10" w:rsidRPr="00745E10" w:rsidTr="00745E10">
        <w:trPr>
          <w:trHeight w:val="824"/>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Ticari elektronik iletinin içeriği</w:t>
            </w:r>
          </w:p>
          <w:p w:rsidR="00745E10" w:rsidRDefault="00745E10" w:rsidP="00745E10">
            <w:pPr>
              <w:autoSpaceDE w:val="0"/>
              <w:autoSpaceDN w:val="0"/>
              <w:adjustRightInd w:val="0"/>
              <w:spacing w:after="0" w:line="240" w:lineRule="auto"/>
              <w:rPr>
                <w:rFonts w:ascii="Tahoma" w:hAnsi="Tahoma" w:cs="Tahoma"/>
              </w:rPr>
            </w:pPr>
          </w:p>
          <w:p w:rsidR="00745E10" w:rsidRDefault="00D01396" w:rsidP="00745E10">
            <w:pPr>
              <w:autoSpaceDE w:val="0"/>
              <w:autoSpaceDN w:val="0"/>
              <w:adjustRightInd w:val="0"/>
              <w:spacing w:after="0" w:line="240" w:lineRule="auto"/>
              <w:rPr>
                <w:rFonts w:ascii="Tahoma" w:hAnsi="Tahoma" w:cs="Tahoma"/>
              </w:rPr>
            </w:pPr>
            <w:r>
              <w:rPr>
                <w:rFonts w:ascii="Tahoma" w:hAnsi="Tahoma" w:cs="Tahoma"/>
              </w:rPr>
              <w:t>7.madde’nin 2. Ve 3. Fıkralarına göre;</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İletide, hizmet sağlayıcının tanınmasını sağlayan bilgiler ile haberleşmenin türüne bağlı olarak telefon numarası, faks numarası, kısa mesaj numarası ve elektronik posta adresi gibi erişilebilir durumdaki iletişim bilgileri yer alır.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İletide, haberleşmenin türüne bağlı olarak, iletinin konusu, amacı ve başkası adına yapılması hâlinde kimin adına yapıldığına ilişkin bilgilere de yer verilir.</w:t>
            </w: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bin Türk lirasından on bin Türk lirasına kadar idari para cezası verilir.</w:t>
            </w:r>
          </w:p>
        </w:tc>
      </w:tr>
      <w:tr w:rsidR="00745E10" w:rsidRPr="00745E10" w:rsidTr="00745E10">
        <w:trPr>
          <w:trHeight w:val="824"/>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MADDE 5 - (1) Ticari iletişimde:</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 xml:space="preserve">b) İndirim ve hediye gibi promosyonlar ile </w:t>
            </w:r>
            <w:proofErr w:type="gramStart"/>
            <w:r>
              <w:rPr>
                <w:rFonts w:ascii="Tahoma" w:hAnsi="Tahoma" w:cs="Tahoma"/>
              </w:rPr>
              <w:t>promosyon</w:t>
            </w:r>
            <w:proofErr w:type="gramEnd"/>
            <w:r>
              <w:rPr>
                <w:rFonts w:ascii="Tahoma" w:hAnsi="Tahoma" w:cs="Tahoma"/>
              </w:rPr>
              <w:t xml:space="preserve"> amaçlı yarışma veya oyunların bu niteliği açıkça belirlenebilmeli, bunlara katılımın ve bunlardan faydalanmanın şartlarına kolayca ulaşılabilmeli ve bu şartlar açık ve şüpheye yer bırakmayacak şekilde anlaşılır olmalıdır.</w:t>
            </w:r>
          </w:p>
          <w:p w:rsidR="00745E10" w:rsidRDefault="00745E10" w:rsidP="00745E10">
            <w:pPr>
              <w:spacing w:after="0" w:line="240" w:lineRule="auto"/>
              <w:jc w:val="both"/>
              <w:rPr>
                <w:rFonts w:ascii="Times New Roman" w:eastAsia="Times New Roman" w:hAnsi="Times New Roman" w:cs="Times New Roman"/>
                <w:spacing w:val="-2"/>
                <w:sz w:val="24"/>
                <w:szCs w:val="24"/>
                <w:lang w:eastAsia="tr-TR"/>
              </w:rPr>
            </w:pPr>
          </w:p>
          <w:p w:rsidR="00745E10" w:rsidRP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iki bin Türk lirasından on beş bin Türk lirasına kadar idari para cezası verilir.</w:t>
            </w:r>
          </w:p>
        </w:tc>
      </w:tr>
      <w:tr w:rsidR="00745E10" w:rsidRPr="00745E10" w:rsidTr="00745E10">
        <w:trPr>
          <w:trHeight w:val="824"/>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lastRenderedPageBreak/>
              <w:t>Alıcının ticari elektronik iletiyi reddetme hakkı</w:t>
            </w:r>
          </w:p>
          <w:p w:rsidR="00745E10" w:rsidRDefault="00745E10" w:rsidP="00745E10">
            <w:pPr>
              <w:autoSpaceDE w:val="0"/>
              <w:autoSpaceDN w:val="0"/>
              <w:adjustRightInd w:val="0"/>
              <w:spacing w:after="0" w:line="240" w:lineRule="auto"/>
              <w:rPr>
                <w:rFonts w:ascii="Tahoma" w:hAnsi="Tahoma" w:cs="Tahoma"/>
              </w:rPr>
            </w:pPr>
          </w:p>
          <w:p w:rsidR="00745E10" w:rsidRDefault="00D01396" w:rsidP="00745E10">
            <w:pPr>
              <w:autoSpaceDE w:val="0"/>
              <w:autoSpaceDN w:val="0"/>
              <w:adjustRightInd w:val="0"/>
              <w:spacing w:after="0" w:line="240" w:lineRule="auto"/>
              <w:rPr>
                <w:rFonts w:ascii="Tahoma" w:hAnsi="Tahoma" w:cs="Tahoma"/>
              </w:rPr>
            </w:pPr>
            <w:r>
              <w:rPr>
                <w:rFonts w:ascii="Tahoma" w:hAnsi="Tahoma" w:cs="Tahoma"/>
              </w:rPr>
              <w:t>8.madde’nin 2. Ve 3. Fıkralarına göre;</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 xml:space="preserve"> Hizmet sağlayıcı ret bildiriminin, elektronik iletişim araçlarıyla kolay ve ücretsiz olarak iletilmesini sağlamakla ve gönderdiği iletide buna ilişkin gerekli bilgileri sunmakla yükümlüdür.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autoSpaceDE w:val="0"/>
              <w:autoSpaceDN w:val="0"/>
              <w:adjustRightInd w:val="0"/>
              <w:spacing w:after="0" w:line="240" w:lineRule="auto"/>
              <w:rPr>
                <w:rFonts w:ascii="Tahoma" w:hAnsi="Tahoma" w:cs="Tahoma"/>
              </w:rPr>
            </w:pPr>
            <w:r>
              <w:rPr>
                <w:rFonts w:ascii="Tahoma" w:hAnsi="Tahoma" w:cs="Tahoma"/>
              </w:rPr>
              <w:t xml:space="preserve"> Talebin ulaşmasını müteakip hizmet sağlayıcı üç iş günü içinde alıcıya elektronik ileti göndermeyi durdurur.</w:t>
            </w:r>
          </w:p>
          <w:p w:rsidR="00745E10" w:rsidRDefault="00745E10" w:rsidP="00745E10">
            <w:pPr>
              <w:autoSpaceDE w:val="0"/>
              <w:autoSpaceDN w:val="0"/>
              <w:adjustRightInd w:val="0"/>
              <w:spacing w:after="0" w:line="240" w:lineRule="auto"/>
              <w:rPr>
                <w:rFonts w:ascii="Tahoma" w:hAnsi="Tahoma" w:cs="Tahoma"/>
              </w:rPr>
            </w:pPr>
          </w:p>
          <w:p w:rsid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Bu madde hükmüne aykırı hareket eden hizmet sağlayıcılara ve aracı hizmet sağlayıcılara iki bin Türk lirasından on beş bin Türk lirasına kadar idari para cezası verilir.</w:t>
            </w:r>
          </w:p>
        </w:tc>
      </w:tr>
      <w:tr w:rsidR="00745E10" w:rsidRPr="00745E10" w:rsidTr="00745E10">
        <w:trPr>
          <w:trHeight w:val="824"/>
        </w:trPr>
        <w:tc>
          <w:tcPr>
            <w:tcW w:w="10809" w:type="dxa"/>
          </w:tcPr>
          <w:p w:rsidR="00745E10" w:rsidRDefault="00745E10" w:rsidP="00745E10">
            <w:pPr>
              <w:autoSpaceDE w:val="0"/>
              <w:autoSpaceDN w:val="0"/>
              <w:adjustRightInd w:val="0"/>
              <w:spacing w:after="0" w:line="240" w:lineRule="auto"/>
              <w:rPr>
                <w:rFonts w:ascii="Tahoma" w:hAnsi="Tahoma" w:cs="Tahoma"/>
              </w:rPr>
            </w:pPr>
            <w:r>
              <w:rPr>
                <w:rFonts w:ascii="Tahoma" w:hAnsi="Tahoma" w:cs="Tahoma"/>
              </w:rPr>
              <w:t>Bakanlık yetkisi</w:t>
            </w:r>
          </w:p>
          <w:p w:rsidR="00745E10" w:rsidRDefault="00745E10" w:rsidP="00745E10">
            <w:pPr>
              <w:autoSpaceDE w:val="0"/>
              <w:autoSpaceDN w:val="0"/>
              <w:adjustRightInd w:val="0"/>
              <w:spacing w:after="0" w:line="240" w:lineRule="auto"/>
              <w:rPr>
                <w:rFonts w:ascii="Tahoma" w:hAnsi="Tahoma" w:cs="Tahoma"/>
              </w:rPr>
            </w:pPr>
          </w:p>
          <w:p w:rsidR="00745E10" w:rsidRDefault="00D01396" w:rsidP="00745E10">
            <w:pPr>
              <w:autoSpaceDE w:val="0"/>
              <w:autoSpaceDN w:val="0"/>
              <w:adjustRightInd w:val="0"/>
              <w:spacing w:after="0" w:line="240" w:lineRule="auto"/>
              <w:rPr>
                <w:rFonts w:ascii="Tahoma" w:hAnsi="Tahoma" w:cs="Tahoma"/>
              </w:rPr>
            </w:pPr>
            <w:r>
              <w:rPr>
                <w:rFonts w:ascii="Tahoma" w:hAnsi="Tahoma" w:cs="Tahoma"/>
              </w:rPr>
              <w:t xml:space="preserve">11.madde’nin 2.fıkrasına </w:t>
            </w:r>
            <w:proofErr w:type="gramStart"/>
            <w:r>
              <w:rPr>
                <w:rFonts w:ascii="Tahoma" w:hAnsi="Tahoma" w:cs="Tahoma"/>
              </w:rPr>
              <w:t>göre :</w:t>
            </w:r>
            <w:r w:rsidR="00745E10">
              <w:rPr>
                <w:rFonts w:ascii="Tahoma" w:hAnsi="Tahoma" w:cs="Tahoma"/>
              </w:rPr>
              <w:t xml:space="preserve"> Bakanlıkça</w:t>
            </w:r>
            <w:proofErr w:type="gramEnd"/>
            <w:r w:rsidR="00745E10">
              <w:rPr>
                <w:rFonts w:ascii="Tahoma" w:hAnsi="Tahoma" w:cs="Tahoma"/>
              </w:rPr>
              <w:t xml:space="preserve"> görevlendirilen denetim elemanları, bu Kanun kapsamında Bakanlık yetkisine giren hususlarla ilgili olarak her türlü bilgi, belge ve defterleri istemeye, bunları incelemeye ve örneklerini almaya, ilgililerden yazılı ve sözlü bilgi almaya yetkili olup ilgililer istenilen bilgi, belge ve defterler ile elektronik kayıtlarını, bunların örneklerini noksansız ve gerçeğe uygun olarak vermek, yazılı ve sözlü bilgi taleplerini karşılamak ve her türlü yardım ve kolaylığı göstermekle yükümlüdür.</w:t>
            </w:r>
          </w:p>
          <w:p w:rsidR="00745E10" w:rsidRDefault="00745E10" w:rsidP="00745E10">
            <w:pPr>
              <w:spacing w:after="0" w:line="240" w:lineRule="auto"/>
              <w:jc w:val="both"/>
              <w:rPr>
                <w:rFonts w:ascii="Times New Roman" w:eastAsia="Times New Roman" w:hAnsi="Times New Roman" w:cs="Times New Roman"/>
                <w:spacing w:val="-2"/>
                <w:sz w:val="24"/>
                <w:szCs w:val="24"/>
                <w:lang w:eastAsia="tr-TR"/>
              </w:rPr>
            </w:pPr>
          </w:p>
        </w:tc>
        <w:tc>
          <w:tcPr>
            <w:tcW w:w="4217" w:type="dxa"/>
          </w:tcPr>
          <w:p w:rsidR="00745E10" w:rsidRPr="00745E10" w:rsidRDefault="00D01396" w:rsidP="00745E10">
            <w:pPr>
              <w:spacing w:after="0" w:line="240" w:lineRule="auto"/>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Bu madde hükmüne aykırı hareket eden hizmet sağlayıcılara ve aracı hizmet sağlayıcılara iki bin Türk </w:t>
            </w:r>
            <w:proofErr w:type="gramStart"/>
            <w:r>
              <w:rPr>
                <w:rFonts w:ascii="Times New Roman" w:eastAsia="Times New Roman" w:hAnsi="Times New Roman" w:cs="Times New Roman"/>
                <w:spacing w:val="-2"/>
                <w:sz w:val="24"/>
                <w:szCs w:val="24"/>
                <w:lang w:eastAsia="tr-TR"/>
              </w:rPr>
              <w:t>lirasından  beş</w:t>
            </w:r>
            <w:proofErr w:type="gramEnd"/>
            <w:r>
              <w:rPr>
                <w:rFonts w:ascii="Times New Roman" w:eastAsia="Times New Roman" w:hAnsi="Times New Roman" w:cs="Times New Roman"/>
                <w:spacing w:val="-2"/>
                <w:sz w:val="24"/>
                <w:szCs w:val="24"/>
                <w:lang w:eastAsia="tr-TR"/>
              </w:rPr>
              <w:t xml:space="preserve"> bin Türk lirasına kadar idari para cezası verilir.</w:t>
            </w:r>
          </w:p>
        </w:tc>
      </w:tr>
    </w:tbl>
    <w:p w:rsidR="00E13B15" w:rsidRDefault="00E13B15"/>
    <w:sectPr w:rsidR="00E13B15" w:rsidSect="00745E1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060DD"/>
    <w:multiLevelType w:val="hybridMultilevel"/>
    <w:tmpl w:val="51EAE4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10"/>
    <w:rsid w:val="00745E10"/>
    <w:rsid w:val="00D01396"/>
    <w:rsid w:val="00E13B15"/>
    <w:rsid w:val="00E85152"/>
    <w:rsid w:val="00FF4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269F-28EB-4235-8154-5D63426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gizem.yildirim</dc:creator>
  <cp:keywords/>
  <dc:description/>
  <cp:lastModifiedBy>alpay.gurbuz</cp:lastModifiedBy>
  <cp:revision>2</cp:revision>
  <dcterms:created xsi:type="dcterms:W3CDTF">2015-04-16T11:46:00Z</dcterms:created>
  <dcterms:modified xsi:type="dcterms:W3CDTF">2015-04-16T11:46:00Z</dcterms:modified>
</cp:coreProperties>
</file>